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黑体" w:eastAsia="黑体"/>
          <w:b/>
          <w:kern w:val="0"/>
          <w:sz w:val="52"/>
          <w:szCs w:val="52"/>
        </w:rPr>
      </w:pPr>
      <w:r>
        <w:rPr>
          <w:rFonts w:hint="eastAsia" w:ascii="黑体" w:eastAsia="黑体"/>
          <w:b/>
          <w:kern w:val="0"/>
          <w:sz w:val="52"/>
          <w:szCs w:val="52"/>
        </w:rPr>
        <w:t>2017年度托里县财政总决算分析</w:t>
      </w:r>
    </w:p>
    <w:p>
      <w:pPr>
        <w:spacing w:line="560" w:lineRule="exact"/>
        <w:rPr>
          <w:rFonts w:ascii="仿宋_GB2312" w:eastAsia="仿宋_GB2312"/>
          <w:kern w:val="0"/>
          <w:sz w:val="32"/>
          <w:szCs w:val="32"/>
        </w:rPr>
      </w:pPr>
    </w:p>
    <w:p>
      <w:pPr>
        <w:widowControl/>
        <w:spacing w:line="560" w:lineRule="exact"/>
        <w:ind w:firstLine="641"/>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2017年，我县财政工作深入贯彻以习近平</w:t>
      </w:r>
      <w:r>
        <w:rPr>
          <w:rFonts w:hint="eastAsia" w:ascii="仿宋_GB2312" w:hAnsi="仿宋_GB2312" w:eastAsia="仿宋_GB2312" w:cs="仿宋_GB2312"/>
          <w:kern w:val="0"/>
          <w:sz w:val="32"/>
          <w:szCs w:val="32"/>
          <w:lang w:eastAsia="zh-CN"/>
        </w:rPr>
        <w:t>总书记</w:t>
      </w:r>
      <w:r>
        <w:rPr>
          <w:rFonts w:hint="eastAsia" w:ascii="仿宋_GB2312" w:hAnsi="仿宋_GB2312" w:eastAsia="仿宋_GB2312" w:cs="仿宋_GB2312"/>
          <w:kern w:val="0"/>
          <w:sz w:val="32"/>
          <w:szCs w:val="32"/>
        </w:rPr>
        <w:t>为核心的中央领导系列重要讲话精神和中央经济工作会议精神，全面落实自治区、地区经济工作会议的安排部署，主动适应把握引领经济发展新常态，牢固树立和贯彻落实新发展理念，</w:t>
      </w:r>
      <w:r>
        <w:rPr>
          <w:rFonts w:hint="eastAsia" w:ascii="仿宋_GB2312" w:eastAsia="仿宋_GB2312"/>
          <w:kern w:val="0"/>
          <w:sz w:val="32"/>
          <w:szCs w:val="32"/>
        </w:rPr>
        <w:t>紧紧围绕社会稳定和长治久安总目标，</w:t>
      </w:r>
      <w:r>
        <w:rPr>
          <w:rFonts w:hint="eastAsia" w:ascii="仿宋_GB2312" w:hAnsi="宋体" w:eastAsia="仿宋_GB2312" w:cs="宋体"/>
          <w:kern w:val="0"/>
          <w:sz w:val="32"/>
          <w:szCs w:val="32"/>
        </w:rPr>
        <w:t>按照“稳中求进”总基调和“稳增长、促改革、调结构、惠民生”的总要求，加强收入征管，确保收入持续增长；优化支出结构，保障民生稳步改善；推进改革创新，逐步提升管理绩效，实现全县经济及各项社会事业持续稳步发展。</w:t>
      </w:r>
      <w:r>
        <w:rPr>
          <w:rFonts w:hint="eastAsia" w:ascii="仿宋_GB2312" w:eastAsia="仿宋_GB2312"/>
          <w:kern w:val="0"/>
          <w:sz w:val="32"/>
          <w:szCs w:val="32"/>
        </w:rPr>
        <w:t>现将2017年度财政总决算情况分析如下：</w:t>
      </w:r>
    </w:p>
    <w:p>
      <w:pPr>
        <w:numPr>
          <w:ilvl w:val="0"/>
          <w:numId w:val="1"/>
        </w:numPr>
        <w:spacing w:line="560" w:lineRule="exact"/>
        <w:ind w:firstLine="643" w:firstLineChars="200"/>
        <w:rPr>
          <w:rFonts w:ascii="黑体" w:eastAsia="黑体"/>
          <w:b/>
          <w:kern w:val="0"/>
          <w:sz w:val="32"/>
          <w:szCs w:val="32"/>
        </w:rPr>
      </w:pPr>
      <w:r>
        <w:rPr>
          <w:rFonts w:hint="eastAsia" w:ascii="黑体" w:eastAsia="黑体"/>
          <w:b/>
          <w:kern w:val="0"/>
          <w:sz w:val="32"/>
          <w:szCs w:val="32"/>
        </w:rPr>
        <w:drawing>
          <wp:anchor distT="0" distB="0" distL="114300" distR="114300" simplePos="0" relativeHeight="251666432" behindDoc="0" locked="0" layoutInCell="1" allowOverlap="1">
            <wp:simplePos x="0" y="0"/>
            <wp:positionH relativeFrom="column">
              <wp:posOffset>5345430</wp:posOffset>
            </wp:positionH>
            <wp:positionV relativeFrom="paragraph">
              <wp:posOffset>215900</wp:posOffset>
            </wp:positionV>
            <wp:extent cx="5486400" cy="3600450"/>
            <wp:effectExtent l="19050" t="0" r="19050" b="0"/>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黑体" w:eastAsia="黑体"/>
          <w:b/>
          <w:kern w:val="0"/>
          <w:sz w:val="32"/>
          <w:szCs w:val="32"/>
        </w:rPr>
        <w:t>托里县2017年国民经济和社会发展简要情况</w:t>
      </w:r>
    </w:p>
    <w:p>
      <w:pPr>
        <w:widowControl/>
        <w:spacing w:line="560" w:lineRule="exact"/>
        <w:ind w:firstLine="641"/>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初步测算，我县2017年实现生产总值34.41亿元，较上年增长6.1%。其中，第一产业生产增加值7.63亿元，较上年增长5%；第二产业增加值15.58亿元，较上年增长2.1%；第三产业增加值11.2亿元,较上年增长13.3%。三次产业结构为22:45:33。托里县总人口9万人，人均GDP达到38233元，比上年增加2755元；农村居民可支配收入达到11006元，较上年增长9.8%；城市居民可支配收入达到24371元，较上年增长8.7%；实现社会消费品零售总额4.8亿元，同比增长7.6%。全县固定资产投资完成26.25亿元，同比增长23.2%。</w:t>
      </w:r>
    </w:p>
    <w:p>
      <w:pPr>
        <w:widowControl/>
        <w:spacing w:line="560" w:lineRule="exact"/>
        <w:ind w:firstLine="641"/>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2013年至2017年5年来，我县生产总值由2013年的29.97亿元增加到34.41亿元，增加4.44亿元，年均增长3.5%。农村居民可支配收入由2013年的7337元增加到11006元，增加3669元，年均增长10.67%，城市居民可支配收入由2013年的16163元增加到24371元，增加8208元，年均增长10.81%；实现社会消费品零售总额由2013年的3.53亿元增加到4.8亿元，增加1.27亿元，年均增长7.99%。全社会固定资产投资由2013年的25.19亿元增加到26.25亿元，增加1.06亿元，年均增长1.04%。</w:t>
      </w:r>
    </w:p>
    <w:p>
      <w:pPr>
        <w:spacing w:line="560" w:lineRule="exact"/>
        <w:ind w:firstLine="643" w:firstLineChars="200"/>
        <w:rPr>
          <w:rFonts w:ascii="黑体" w:eastAsia="黑体"/>
          <w:b/>
          <w:kern w:val="0"/>
          <w:sz w:val="32"/>
          <w:szCs w:val="32"/>
        </w:rPr>
      </w:pPr>
      <w:r>
        <w:rPr>
          <w:rFonts w:hint="eastAsia" w:ascii="黑体" w:eastAsia="黑体"/>
          <w:b/>
          <w:kern w:val="0"/>
          <w:sz w:val="32"/>
          <w:szCs w:val="32"/>
        </w:rPr>
        <w:drawing>
          <wp:anchor distT="0" distB="0" distL="114300" distR="114300" simplePos="0" relativeHeight="251673600" behindDoc="0" locked="0" layoutInCell="1" allowOverlap="1">
            <wp:simplePos x="0" y="0"/>
            <wp:positionH relativeFrom="column">
              <wp:posOffset>5535930</wp:posOffset>
            </wp:positionH>
            <wp:positionV relativeFrom="paragraph">
              <wp:posOffset>-257175</wp:posOffset>
            </wp:positionV>
            <wp:extent cx="5286375" cy="3114675"/>
            <wp:effectExtent l="19050" t="0" r="9525" b="0"/>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eastAsia="黑体"/>
          <w:b/>
          <w:kern w:val="0"/>
          <w:sz w:val="32"/>
          <w:szCs w:val="32"/>
        </w:rPr>
        <w:t>二、2017年度财政供养人员情况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drawing>
          <wp:anchor distT="0" distB="0" distL="114300" distR="114300" simplePos="0" relativeHeight="251662336" behindDoc="0" locked="0" layoutInCell="1" allowOverlap="1">
            <wp:simplePos x="0" y="0"/>
            <wp:positionH relativeFrom="column">
              <wp:posOffset>-26670</wp:posOffset>
            </wp:positionH>
            <wp:positionV relativeFrom="paragraph">
              <wp:posOffset>2501900</wp:posOffset>
            </wp:positionV>
            <wp:extent cx="5534025" cy="3276600"/>
            <wp:effectExtent l="19050" t="0" r="9525" b="0"/>
            <wp:wrapSquare wrapText="bothSides"/>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_GB2312" w:hAnsi="仿宋_GB2312" w:eastAsia="仿宋_GB2312" w:cs="仿宋_GB2312"/>
          <w:kern w:val="0"/>
          <w:sz w:val="32"/>
          <w:szCs w:val="32"/>
        </w:rPr>
        <w:t>2017年托里县年末独立核算机构数143个，财政供养年末实有人数4328人，其中在职4316人、离休12人,在职人数较上年增加68人,离休人数较上年减少1人。年末各单位其他人员2700人，主要是教育部门还没有进编制的特岗老师和部分单位没有进编制的县财政供养人员以及超编人员等。遗属人员960人，较上年减少448人。</w:t>
      </w:r>
    </w:p>
    <w:p>
      <w:pPr>
        <w:spacing w:line="560" w:lineRule="exact"/>
        <w:ind w:firstLine="643" w:firstLineChars="200"/>
        <w:rPr>
          <w:rFonts w:ascii="黑体" w:eastAsia="黑体"/>
          <w:b/>
          <w:kern w:val="0"/>
          <w:sz w:val="32"/>
          <w:szCs w:val="32"/>
        </w:rPr>
      </w:pPr>
      <w:r>
        <w:rPr>
          <w:rFonts w:hint="eastAsia" w:ascii="黑体" w:eastAsia="黑体"/>
          <w:b/>
          <w:kern w:val="0"/>
          <w:sz w:val="32"/>
          <w:szCs w:val="32"/>
        </w:rPr>
        <w:t>三、2017年度财政收入情况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2017年，托里县财税部门正视困难，盯紧主体税源，以组织收入为中心，以保增长为第一责任，开辟税源，堵塞漏洞，夯实责任，应收尽收。</w:t>
      </w:r>
    </w:p>
    <w:p>
      <w:pPr>
        <w:spacing w:line="560" w:lineRule="exact"/>
        <w:rPr>
          <w:rFonts w:ascii="仿宋_GB2312" w:hAnsi="仿宋_GB2312" w:eastAsia="仿宋_GB2312" w:cs="仿宋_GB2312"/>
          <w:kern w:val="0"/>
          <w:sz w:val="32"/>
          <w:szCs w:val="32"/>
        </w:rPr>
      </w:pPr>
      <w:r>
        <w:rPr>
          <w:rFonts w:hint="eastAsia" w:ascii="仿宋_GB2312" w:eastAsia="仿宋_GB2312"/>
          <w:b/>
          <w:kern w:val="0"/>
          <w:sz w:val="32"/>
          <w:szCs w:val="32"/>
        </w:rPr>
        <w:t xml:space="preserve">    （一）全口径财政收入情况：</w:t>
      </w:r>
      <w:r>
        <w:rPr>
          <w:rFonts w:hint="eastAsia" w:ascii="仿宋_GB2312" w:hAnsi="仿宋_GB2312" w:eastAsia="仿宋_GB2312" w:cs="仿宋_GB2312"/>
          <w:kern w:val="0"/>
          <w:sz w:val="32"/>
          <w:szCs w:val="32"/>
        </w:rPr>
        <w:t>2017年，托里县完成全口径财政收入33301万元，较上年减收924万元，下降3%。</w:t>
      </w:r>
    </w:p>
    <w:p>
      <w:pPr>
        <w:spacing w:line="560" w:lineRule="exact"/>
        <w:rPr>
          <w:rFonts w:ascii="仿宋_GB2312" w:hAnsi="仿宋_GB2312" w:eastAsia="仿宋_GB2312" w:cs="仿宋_GB2312"/>
          <w:kern w:val="0"/>
          <w:sz w:val="32"/>
          <w:szCs w:val="32"/>
        </w:rPr>
      </w:pPr>
      <w:r>
        <w:rPr>
          <w:rFonts w:hint="eastAsia" w:ascii="仿宋_GB2312" w:eastAsia="仿宋_GB2312"/>
          <w:b/>
          <w:kern w:val="0"/>
          <w:sz w:val="32"/>
          <w:szCs w:val="32"/>
        </w:rPr>
        <w:t xml:space="preserve">    （二）地方财政收入情况：</w:t>
      </w:r>
      <w:r>
        <w:rPr>
          <w:rFonts w:hint="eastAsia" w:ascii="仿宋_GB2312" w:hAnsi="仿宋_GB2312" w:eastAsia="仿宋_GB2312" w:cs="仿宋_GB2312"/>
          <w:kern w:val="0"/>
          <w:sz w:val="32"/>
          <w:szCs w:val="32"/>
        </w:rPr>
        <w:t>全县地方财政收入完成22596万元，完成年初预算的94.1%，较上年减收1287万元，下降5.4%。</w:t>
      </w:r>
    </w:p>
    <w:p>
      <w:pPr>
        <w:spacing w:line="560" w:lineRule="exact"/>
        <w:ind w:firstLine="643" w:firstLineChars="200"/>
        <w:rPr>
          <w:rFonts w:ascii="仿宋_GB2312" w:hAnsi="仿宋_GB2312" w:eastAsia="仿宋_GB2312" w:cs="仿宋_GB2312"/>
          <w:kern w:val="0"/>
          <w:sz w:val="32"/>
          <w:szCs w:val="32"/>
        </w:rPr>
      </w:pPr>
      <w:r>
        <w:rPr>
          <w:rFonts w:hint="eastAsia" w:ascii="仿宋_GB2312" w:eastAsia="仿宋_GB2312"/>
          <w:b/>
          <w:kern w:val="0"/>
          <w:sz w:val="32"/>
          <w:szCs w:val="32"/>
        </w:rPr>
        <w:t>（三）一般公共预算本级收入情况：</w:t>
      </w:r>
      <w:r>
        <w:rPr>
          <w:rFonts w:hint="eastAsia" w:ascii="仿宋_GB2312" w:hAnsi="仿宋_GB2312" w:eastAsia="仿宋_GB2312" w:cs="仿宋_GB2312"/>
          <w:kern w:val="0"/>
          <w:sz w:val="32"/>
          <w:szCs w:val="32"/>
        </w:rPr>
        <w:t>一般公共财政预算本级收入完成21691万元，完成年初预算的97.2%，较上年增收429万元，增长2.0%；一般公共财政预算收入中税收收入完成18652万元，完成年初预算的102.2%，较上年增收1500万元，增长8.8%，占一般公共预算收入的86%；非税收入完成3039万元，完成年初预算的74.6%，较上年减收1071万元，下降26.1%，占一般公共预算收入的14%。</w:t>
      </w:r>
    </w:p>
    <w:p>
      <w:pPr>
        <w:spacing w:line="560" w:lineRule="exact"/>
        <w:ind w:firstLine="643" w:firstLineChars="200"/>
        <w:rPr>
          <w:rFonts w:ascii="仿宋_GB2312" w:hAnsi="仿宋_GB2312" w:eastAsia="仿宋_GB2312" w:cs="仿宋_GB2312"/>
          <w:kern w:val="0"/>
          <w:sz w:val="32"/>
          <w:szCs w:val="32"/>
        </w:rPr>
      </w:pPr>
      <w:r>
        <w:rPr>
          <w:rFonts w:hint="eastAsia" w:ascii="仿宋_GB2312" w:eastAsia="仿宋_GB2312"/>
          <w:b/>
          <w:kern w:val="0"/>
          <w:sz w:val="32"/>
          <w:szCs w:val="32"/>
        </w:rPr>
        <w:t>（四）政府性基金本级收入情况：</w:t>
      </w:r>
      <w:r>
        <w:rPr>
          <w:rFonts w:hint="eastAsia" w:ascii="仿宋_GB2312" w:hAnsi="仿宋_GB2312" w:eastAsia="仿宋_GB2312" w:cs="仿宋_GB2312"/>
          <w:kern w:val="0"/>
          <w:sz w:val="32"/>
          <w:szCs w:val="32"/>
        </w:rPr>
        <w:t>政府性基金收入完成905万元，完成年初预算的53.9%，较上年减收1716万元，下降65.5%。</w:t>
      </w:r>
    </w:p>
    <w:p>
      <w:pPr>
        <w:spacing w:line="560" w:lineRule="exact"/>
        <w:ind w:firstLine="555"/>
        <w:jc w:val="left"/>
        <w:rPr>
          <w:rFonts w:ascii="仿宋_GB2312" w:hAnsi="仿宋_GB2312" w:eastAsia="仿宋_GB2312" w:cs="仿宋_GB2312"/>
          <w:kern w:val="0"/>
          <w:sz w:val="32"/>
          <w:szCs w:val="32"/>
        </w:rPr>
      </w:pPr>
      <w:r>
        <w:rPr>
          <w:rFonts w:hint="eastAsia" w:ascii="仿宋_GB2312" w:eastAsia="仿宋_GB2312"/>
          <w:b/>
          <w:kern w:val="0"/>
          <w:sz w:val="32"/>
          <w:szCs w:val="32"/>
        </w:rPr>
        <w:drawing>
          <wp:anchor distT="0" distB="0" distL="114300" distR="114300" simplePos="0" relativeHeight="251663360" behindDoc="0" locked="0" layoutInCell="1" allowOverlap="1">
            <wp:simplePos x="0" y="0"/>
            <wp:positionH relativeFrom="column">
              <wp:posOffset>5393055</wp:posOffset>
            </wp:positionH>
            <wp:positionV relativeFrom="paragraph">
              <wp:posOffset>19050</wp:posOffset>
            </wp:positionV>
            <wp:extent cx="5486400" cy="3409950"/>
            <wp:effectExtent l="19050" t="0" r="19050" b="0"/>
            <wp:wrapSquare wrapText="bothSides"/>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_GB2312" w:eastAsia="仿宋_GB2312"/>
          <w:b/>
          <w:kern w:val="0"/>
          <w:sz w:val="32"/>
          <w:szCs w:val="32"/>
        </w:rPr>
        <w:t>（五）分部门收入预算执行情况：</w:t>
      </w:r>
      <w:r>
        <w:rPr>
          <w:rFonts w:hint="eastAsia" w:ascii="仿宋_GB2312" w:hAnsi="仿宋_GB2312" w:eastAsia="仿宋_GB2312" w:cs="仿宋_GB2312"/>
          <w:kern w:val="0"/>
          <w:sz w:val="32"/>
          <w:szCs w:val="32"/>
        </w:rPr>
        <w:t>全县公共财政预算收入国税部门完成6021万元，同比增收1031万元，增长20.7%；地税部门收入完成13229万元，同比增收464万元，增长3.6%；财政部门收入完成2441万元，同比减收1066万元，下降30.4%。</w:t>
      </w:r>
    </w:p>
    <w:p>
      <w:pPr>
        <w:spacing w:line="560" w:lineRule="exact"/>
        <w:ind w:firstLine="643" w:firstLineChars="200"/>
        <w:rPr>
          <w:rFonts w:ascii="仿宋_GB2312" w:eastAsia="仿宋_GB2312"/>
          <w:b/>
          <w:kern w:val="0"/>
          <w:sz w:val="32"/>
          <w:szCs w:val="32"/>
        </w:rPr>
      </w:pPr>
      <w:r>
        <w:rPr>
          <w:rFonts w:hint="eastAsia" w:ascii="仿宋_GB2312" w:eastAsia="仿宋_GB2312"/>
          <w:b/>
          <w:kern w:val="0"/>
          <w:sz w:val="32"/>
          <w:szCs w:val="32"/>
        </w:rPr>
        <w:t>（六）收入预算执行情况：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税收收入从主要税种看，各税种有增有减。增收最多的为耕地占用税，增收1937万元，增长达59.9%，其次是增值税，增收717万元，增长达18.8%，资源税增收较大，增收470万元，增长达20.8%，除营业税外减收最多的为个人所得税，减收277万元，下降23.2%。税收收入比重占比最大的为耕地占用税达27.7%，其次为增值税占比24.2%。</w:t>
      </w:r>
    </w:p>
    <w:p>
      <w:pPr>
        <w:spacing w:line="560" w:lineRule="exact"/>
        <w:ind w:firstLine="600"/>
        <w:rPr>
          <w:rFonts w:ascii="仿宋_GB2312" w:eastAsia="仿宋_GB2312"/>
          <w:kern w:val="0"/>
          <w:sz w:val="32"/>
          <w:szCs w:val="32"/>
        </w:rPr>
      </w:pPr>
      <w:r>
        <w:rPr>
          <w:rFonts w:hint="eastAsia" w:ascii="仿宋_GB2312" w:eastAsia="仿宋_GB2312"/>
          <w:b/>
          <w:kern w:val="0"/>
          <w:sz w:val="32"/>
          <w:szCs w:val="32"/>
        </w:rPr>
        <w:t>1、增值税：</w:t>
      </w:r>
      <w:r>
        <w:rPr>
          <w:rFonts w:hint="eastAsia" w:ascii="仿宋_GB2312" w:hAnsi="仿宋_GB2312" w:eastAsia="仿宋_GB2312" w:cs="仿宋_GB2312"/>
          <w:kern w:val="0"/>
          <w:sz w:val="32"/>
          <w:szCs w:val="32"/>
        </w:rPr>
        <w:t>2017年累计入库4521万元，完成年初预算的72.6%，同比增收717万元，增长18.8%，增收原因：一是重大项目克塔铁路和国道335线的建设，入库税收累计1113万元；二是改征增值税入库同比增加，增量主要来源于四大行业改征增值税扩围带来的税收；三是金融服务业同比增幅较大，主要源于托里县农村信用合作联社税收来源较为固定，企业市场环境较好，自2017年年初开始扩大贷款范围，增加面向工薪人员和退休人员贷款的项目；四是电力行业同比净增长，主要是国电塔城铁厂沟发电有限公司将发电权售卖给国电克拉玛依公司，取得交易费收入585万元，缴纳入库增值税款34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2、营业税：</w:t>
      </w:r>
      <w:r>
        <w:rPr>
          <w:rFonts w:hint="eastAsia" w:ascii="仿宋_GB2312" w:eastAsia="仿宋_GB2312"/>
          <w:kern w:val="0"/>
          <w:sz w:val="32"/>
          <w:szCs w:val="32"/>
        </w:rPr>
        <w:t>2017年累计入库-9万元，本期营业税全口径入库8万元，发生退税26万元。入库系托里县盛源服务有限公司补缴往期税款8万元，退库系托里县农村信用合作联社17万元、江苏南通二建集团有限公司6万元、新疆荣得工程建设有限责任公司3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3、企业所得税：</w:t>
      </w:r>
      <w:r>
        <w:rPr>
          <w:rFonts w:hint="eastAsia" w:ascii="仿宋_GB2312" w:eastAsia="仿宋_GB2312"/>
          <w:kern w:val="0"/>
          <w:sz w:val="32"/>
          <w:szCs w:val="32"/>
        </w:rPr>
        <w:t>2017年累计入库2575万元，完成年初预算的114.7%，同比增收436万元，增长20.4%。增收主要原因：一是采矿业同比增收，系托里县国苑铬矿开发有限公司本年度缴纳稽查查补税款454万元、汇算清缴2016年税款206万元、正常申报预缴30万元，同比增收628万元；二是批发和零售业同比增收，主要因为税务部门加大征管力度及欠税管理力度，入库托里县花岗岩资源开发总公司往年欠税及滞纳金822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4、个人所得税：</w:t>
      </w:r>
      <w:r>
        <w:rPr>
          <w:rFonts w:hint="eastAsia" w:ascii="仿宋_GB2312" w:eastAsia="仿宋_GB2312"/>
          <w:kern w:val="0"/>
          <w:sz w:val="32"/>
          <w:szCs w:val="32"/>
        </w:rPr>
        <w:t>2017年累计入库918万元，完成年初预算的74%，同比减收277万元，下降23.2%。减收主要是其他转让所得、企事业承包承租经营所得和工资薪金所得。工资薪金所得主要体现在采矿业的减收，一是西部黄金克拉玛依哈图金矿有限责任公司因安全生产整顿停产2个月，为了完成生产任务大量外购金精粉，导致利润空间缩小，公司职工效益奖金大幅下滑，同比减收146万元；二是徐矿集团新疆塔城铁煤能源有限公司停产，同比减收108万元；三是部分企业因安全生产整顿、生产工艺升级造成停产，导致较同期效益大幅下滑，员工薪酬水平下降。企事业承包承租经营所得主要体现在建筑企业开票量下降导致减收，如新疆立辉建筑安装工程有限公司同比减收140万元、托里县汇丰房地产开发公司同比减收14万元。其他转让所得同比减收主要因为去年同期托里县世峰黄金矿业有限公司赵晓东（原股东）个人股权转让缴纳554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5、资源税：</w:t>
      </w:r>
      <w:r>
        <w:rPr>
          <w:rFonts w:hint="eastAsia" w:ascii="仿宋_GB2312" w:eastAsia="仿宋_GB2312"/>
          <w:kern w:val="0"/>
          <w:sz w:val="32"/>
          <w:szCs w:val="32"/>
        </w:rPr>
        <w:t>2017年累计入库2728万元，完成年初预算的115.1%，同比增收470万元，增长20.8%。增收主要受资源税改革及国际金价影响。</w:t>
      </w:r>
    </w:p>
    <w:p>
      <w:pPr>
        <w:spacing w:line="560" w:lineRule="exact"/>
        <w:ind w:firstLine="643" w:firstLineChars="200"/>
        <w:rPr>
          <w:rFonts w:ascii="仿宋_GB2312" w:hAnsi="仿宋" w:eastAsia="仿宋_GB2312"/>
          <w:kern w:val="0"/>
          <w:sz w:val="32"/>
          <w:szCs w:val="32"/>
        </w:rPr>
      </w:pPr>
      <w:r>
        <w:rPr>
          <w:rFonts w:hint="eastAsia" w:ascii="仿宋_GB2312" w:eastAsia="仿宋_GB2312"/>
          <w:b/>
          <w:kern w:val="0"/>
          <w:sz w:val="32"/>
          <w:szCs w:val="32"/>
        </w:rPr>
        <w:t>6、城镇土地使用税：</w:t>
      </w:r>
      <w:r>
        <w:rPr>
          <w:rFonts w:hint="eastAsia" w:ascii="仿宋_GB2312" w:eastAsia="仿宋_GB2312"/>
          <w:kern w:val="0"/>
          <w:sz w:val="32"/>
          <w:szCs w:val="32"/>
        </w:rPr>
        <w:t>2017年累计入库508万元，完成年初预算的116.5%，同比增收92万元，增长22.1%。增收原因：</w:t>
      </w:r>
      <w:r>
        <w:rPr>
          <w:rFonts w:hint="eastAsia" w:ascii="仿宋_GB2312" w:hAnsi="仿宋" w:eastAsia="仿宋_GB2312"/>
          <w:kern w:val="0"/>
          <w:sz w:val="32"/>
          <w:szCs w:val="32"/>
        </w:rPr>
        <w:t>一是加大清欠力度，清理新疆欧太铬业有限责任公司欠缴税款40万元；二是通过在减免税事项管理中，加强事中监督，强化事后管理，对托里县九鼎富通农产品经营服务有限公司因不符合减免税条件取消其免税资格，追缴2015-2017年城镇土地使用税及滞纳金45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7、城建税：</w:t>
      </w:r>
      <w:r>
        <w:rPr>
          <w:rFonts w:hint="eastAsia" w:ascii="仿宋_GB2312" w:eastAsia="仿宋_GB2312"/>
          <w:kern w:val="0"/>
          <w:sz w:val="32"/>
          <w:szCs w:val="32"/>
        </w:rPr>
        <w:t>2017年累计入库476万元，完成年初预算的93%，同比减收18万元，下降3.6%。减收主要受主税收入情况影响，如新疆立辉建筑安装工程有限公司开票量下降，同比减收57万元。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8、印花税：</w:t>
      </w:r>
      <w:r>
        <w:rPr>
          <w:rFonts w:hint="eastAsia" w:ascii="仿宋_GB2312" w:eastAsia="仿宋_GB2312"/>
          <w:kern w:val="0"/>
          <w:sz w:val="32"/>
          <w:szCs w:val="32"/>
        </w:rPr>
        <w:t>2017年累计入库165万元，完成年初预算的78.9%，同比减收37万元，下降18.3%。减收主要受经济下行压力及企业周转资金困难的影响，如中电投新疆能源化工集团托里有限责任公司四期工程未投产，较去年同期减少22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9、土地增值税：</w:t>
      </w:r>
      <w:r>
        <w:rPr>
          <w:rFonts w:hint="eastAsia" w:ascii="仿宋_GB2312" w:eastAsia="仿宋_GB2312"/>
          <w:kern w:val="0"/>
          <w:sz w:val="32"/>
          <w:szCs w:val="32"/>
        </w:rPr>
        <w:t>2017年累计入库144万元，完成年初预算的63.4%，同比减收72万元，下降33.3%。减收原因：今年房地产市场低迷，商品房均价较去年有所回落，销售情况不如去年同期，新开楼盘较同期减少，如托里县汇丰房地产开发公司同比减少27万元、沙湾县润泽房地产开发有限责任公司托里分公司同比减少26万元、额敏县金辉房地产开发有限责任公司托里县分公司同比减少10万元、新疆立辉建筑安装工程有限公司同比减少10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10、房产税：</w:t>
      </w:r>
      <w:r>
        <w:rPr>
          <w:rFonts w:hint="eastAsia" w:ascii="仿宋_GB2312" w:eastAsia="仿宋_GB2312"/>
          <w:kern w:val="0"/>
          <w:sz w:val="32"/>
          <w:szCs w:val="32"/>
        </w:rPr>
        <w:t>2017年累计入库864万元，完成年初预算的111.8%，同比增收128万元，增长17.4%。增收原因：本期加大清欠力度，清理新疆欧太铬业有限责任公司欠缴税款130万元。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11、车船税：</w:t>
      </w:r>
      <w:r>
        <w:rPr>
          <w:rFonts w:hint="eastAsia" w:ascii="仿宋_GB2312" w:eastAsia="仿宋_GB2312"/>
          <w:kern w:val="0"/>
          <w:sz w:val="32"/>
          <w:szCs w:val="32"/>
        </w:rPr>
        <w:t>2017年累计入库350元，完成年初预算的96.7%，同比增收5万元，增长1.4%。增收主要是因为居民车辆保有量同比增加。</w:t>
      </w:r>
    </w:p>
    <w:p>
      <w:pPr>
        <w:spacing w:line="56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12、契税：</w:t>
      </w:r>
      <w:r>
        <w:rPr>
          <w:rFonts w:hint="eastAsia" w:ascii="仿宋_GB2312" w:eastAsia="仿宋_GB2312"/>
          <w:kern w:val="0"/>
          <w:sz w:val="32"/>
          <w:szCs w:val="32"/>
        </w:rPr>
        <w:t>2017年累计入库241元，完成年初预算的95.6%，同比减收6万元，下降2.4%。减收主要因为房产交易量较去年同期减少。</w:t>
      </w:r>
    </w:p>
    <w:p>
      <w:pPr>
        <w:spacing w:line="560" w:lineRule="exact"/>
        <w:ind w:firstLine="643" w:firstLineChars="200"/>
        <w:jc w:val="left"/>
        <w:rPr>
          <w:rFonts w:ascii="仿宋_GB2312" w:eastAsia="仿宋_GB2312"/>
          <w:kern w:val="0"/>
          <w:sz w:val="32"/>
          <w:szCs w:val="32"/>
        </w:rPr>
      </w:pPr>
      <w:r>
        <w:rPr>
          <w:rFonts w:hint="eastAsia" w:ascii="仿宋_GB2312" w:eastAsia="仿宋_GB2312"/>
          <w:b/>
          <w:kern w:val="0"/>
          <w:sz w:val="32"/>
          <w:szCs w:val="32"/>
        </w:rPr>
        <w:t>13、耕地占用税：</w:t>
      </w:r>
      <w:r>
        <w:rPr>
          <w:rFonts w:hint="eastAsia" w:ascii="仿宋_GB2312" w:eastAsia="仿宋_GB2312"/>
          <w:kern w:val="0"/>
          <w:sz w:val="32"/>
          <w:szCs w:val="32"/>
        </w:rPr>
        <w:t>2017年累计入库5171万元，完成年初预算的152.3%，同比增收1937万元，增长59.9%。增收原因：主动争取托里县委</w:t>
      </w:r>
      <w:r>
        <w:rPr>
          <w:rFonts w:hint="eastAsia" w:ascii="仿宋_GB2312" w:eastAsia="仿宋_GB2312"/>
          <w:kern w:val="0"/>
          <w:sz w:val="32"/>
          <w:szCs w:val="32"/>
          <w:lang w:eastAsia="zh-CN"/>
        </w:rPr>
        <w:t>、县</w:t>
      </w:r>
      <w:r>
        <w:rPr>
          <w:rFonts w:hint="eastAsia" w:ascii="仿宋_GB2312" w:eastAsia="仿宋_GB2312"/>
          <w:kern w:val="0"/>
          <w:sz w:val="32"/>
          <w:szCs w:val="32"/>
        </w:rPr>
        <w:t>政府支持，协调组织召开了全县耕地占用税专项清理布置会，制定了《托里县耕地占用税专项清理工作实施方案》，以此次会议及实施方案为契机，税务部门积极开展向土地要税收行动，充分利用涉资源税类信息共享机制，通过国土局、草原站、林业局等单位获取76户企业109条占地信息、梳理县域乡村公路建设信息48条、核实政府民生项目占用耕地信息91条，并开展清理工作。本年度入库托里县畜牧兽医局1527万元、托里县安居富民工程建设领导小组办公室1143万元、托里县招金北疆矿业有限公司813万元、托里县人民政府办公室280万元、新疆维吾尔自治区交通建设管理局262万元、托里县市政园林环卫处250万元、新疆天盾商砼有限公司205万元、新疆新能发展托里风力发电有限责任公司96万元、托里县鑫源黄金矿业有限公司93万元等。</w:t>
      </w:r>
    </w:p>
    <w:p>
      <w:pPr>
        <w:spacing w:line="560" w:lineRule="exact"/>
        <w:ind w:firstLine="643" w:firstLineChars="200"/>
        <w:rPr>
          <w:rFonts w:ascii="仿宋_GB2312" w:eastAsia="仿宋_GB2312"/>
          <w:color w:val="000000"/>
          <w:kern w:val="0"/>
          <w:sz w:val="32"/>
          <w:szCs w:val="32"/>
        </w:rPr>
      </w:pPr>
      <w:r>
        <w:rPr>
          <w:rFonts w:hint="eastAsia" w:ascii="仿宋_GB2312" w:eastAsia="仿宋_GB2312"/>
          <w:b/>
          <w:kern w:val="0"/>
          <w:sz w:val="32"/>
          <w:szCs w:val="32"/>
        </w:rPr>
        <w:t>14、非税收入：</w:t>
      </w:r>
      <w:r>
        <w:rPr>
          <w:rFonts w:hint="eastAsia" w:ascii="仿宋_GB2312" w:eastAsia="仿宋_GB2312"/>
          <w:kern w:val="0"/>
          <w:sz w:val="32"/>
          <w:szCs w:val="32"/>
        </w:rPr>
        <w:t>2017年累计入库3039万元，完成年初预算的74.6%，同比减收1071万元，减少26.1%。减收</w:t>
      </w:r>
      <w:r>
        <w:rPr>
          <w:rFonts w:hint="eastAsia" w:ascii="仿宋_GB2312" w:eastAsia="仿宋_GB2312"/>
          <w:color w:val="000000"/>
          <w:kern w:val="0"/>
          <w:sz w:val="32"/>
          <w:szCs w:val="32"/>
        </w:rPr>
        <w:t>主要因为去年有入库资源补偿费535万元和企业捐赠收入640万元，今年无类似大额的非税收入。</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drawing>
          <wp:anchor distT="0" distB="0" distL="114300" distR="114300" simplePos="0" relativeHeight="251670528" behindDoc="0" locked="0" layoutInCell="1" allowOverlap="1">
            <wp:simplePos x="0" y="0"/>
            <wp:positionH relativeFrom="column">
              <wp:posOffset>5631180</wp:posOffset>
            </wp:positionH>
            <wp:positionV relativeFrom="paragraph">
              <wp:posOffset>927100</wp:posOffset>
            </wp:positionV>
            <wp:extent cx="5219700" cy="3619500"/>
            <wp:effectExtent l="19050" t="0" r="19050" b="0"/>
            <wp:wrapSquare wrapText="bothSides"/>
            <wp:docPr id="1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_GB2312" w:eastAsia="仿宋_GB2312"/>
          <w:b/>
          <w:kern w:val="0"/>
          <w:sz w:val="32"/>
          <w:szCs w:val="32"/>
        </w:rPr>
        <w:drawing>
          <wp:anchor distT="0" distB="0" distL="114300" distR="114300" simplePos="0" relativeHeight="251669504" behindDoc="0" locked="0" layoutInCell="1" allowOverlap="1">
            <wp:simplePos x="0" y="0"/>
            <wp:positionH relativeFrom="column">
              <wp:posOffset>-17145</wp:posOffset>
            </wp:positionH>
            <wp:positionV relativeFrom="paragraph">
              <wp:posOffset>927100</wp:posOffset>
            </wp:positionV>
            <wp:extent cx="5648325" cy="3619500"/>
            <wp:effectExtent l="19050" t="0" r="9525" b="0"/>
            <wp:wrapSquare wrapText="bothSides"/>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_GB2312" w:eastAsia="仿宋_GB2312"/>
          <w:b/>
          <w:kern w:val="0"/>
          <w:sz w:val="32"/>
          <w:szCs w:val="32"/>
        </w:rPr>
        <w:t>15、地方政府性基金本级收入：</w:t>
      </w:r>
      <w:r>
        <w:rPr>
          <w:rFonts w:hint="eastAsia" w:ascii="仿宋_GB2312" w:eastAsia="仿宋_GB2312"/>
          <w:kern w:val="0"/>
          <w:sz w:val="32"/>
          <w:szCs w:val="32"/>
        </w:rPr>
        <w:t>2017年累计入库905万元，完成年初预算的53.9%，比上年减收1716万元，下降65.5%，占地方财政收入的4%。其中国有土地使用权出让收入617万元，同比减收1653万元，下降72.8%。</w:t>
      </w:r>
    </w:p>
    <w:p>
      <w:pPr>
        <w:spacing w:line="560" w:lineRule="exact"/>
        <w:ind w:firstLine="643" w:firstLineChars="200"/>
        <w:rPr>
          <w:rFonts w:ascii="黑体" w:eastAsia="黑体"/>
          <w:b/>
          <w:kern w:val="0"/>
          <w:sz w:val="32"/>
          <w:szCs w:val="32"/>
        </w:rPr>
      </w:pPr>
      <w:r>
        <w:rPr>
          <w:rFonts w:hint="eastAsia" w:ascii="黑体" w:eastAsia="黑体"/>
          <w:b/>
          <w:kern w:val="0"/>
          <w:sz w:val="32"/>
          <w:szCs w:val="32"/>
        </w:rPr>
        <w:t>四、2017年度托里县可用财力情况</w:t>
      </w:r>
    </w:p>
    <w:p>
      <w:pPr>
        <w:spacing w:line="560" w:lineRule="exact"/>
        <w:ind w:firstLine="640" w:firstLineChars="200"/>
        <w:rPr>
          <w:rFonts w:ascii="仿宋_GB2312" w:eastAsia="仿宋_GB2312"/>
          <w:kern w:val="0"/>
          <w:sz w:val="32"/>
          <w:szCs w:val="32"/>
        </w:rPr>
      </w:pPr>
      <w:r>
        <w:rPr>
          <w:rFonts w:hint="eastAsia" w:ascii="仿宋_GB2312" w:eastAsia="仿宋_GB2312"/>
          <w:kern w:val="0"/>
          <w:sz w:val="32"/>
          <w:szCs w:val="32"/>
        </w:rPr>
        <w:t>2017年全县地方可用财力为177308万元。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（一）地方财政收入完成情况：</w:t>
      </w:r>
      <w:r>
        <w:rPr>
          <w:rFonts w:hint="eastAsia" w:ascii="仿宋_GB2312" w:eastAsia="仿宋_GB2312"/>
          <w:kern w:val="0"/>
          <w:sz w:val="32"/>
          <w:szCs w:val="32"/>
        </w:rPr>
        <w:t>2017年地方财政收入完成22596万元，其中：一般公共预算本级收入21691万元，政府性基金预算本级收入905万元。</w:t>
      </w:r>
    </w:p>
    <w:p>
      <w:pPr>
        <w:spacing w:line="560" w:lineRule="exact"/>
        <w:ind w:firstLine="640" w:firstLineChars="200"/>
        <w:rPr>
          <w:rFonts w:ascii="仿宋_GB2312" w:eastAsia="仿宋_GB2312"/>
          <w:kern w:val="0"/>
          <w:sz w:val="32"/>
          <w:szCs w:val="32"/>
        </w:rPr>
      </w:pPr>
      <w:r>
        <w:rPr>
          <w:kern w:val="0"/>
          <w:sz w:val="32"/>
          <w:szCs w:val="32"/>
        </w:rPr>
        <w:drawing>
          <wp:anchor distT="0" distB="0" distL="114300" distR="114300" simplePos="0" relativeHeight="251667456" behindDoc="0" locked="0" layoutInCell="1" allowOverlap="1">
            <wp:simplePos x="0" y="0"/>
            <wp:positionH relativeFrom="column">
              <wp:posOffset>5307330</wp:posOffset>
            </wp:positionH>
            <wp:positionV relativeFrom="paragraph">
              <wp:posOffset>1590675</wp:posOffset>
            </wp:positionV>
            <wp:extent cx="5543550" cy="3476625"/>
            <wp:effectExtent l="19050" t="0" r="19050" b="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_GB2312" w:eastAsia="仿宋_GB2312"/>
          <w:b/>
          <w:kern w:val="0"/>
          <w:sz w:val="32"/>
          <w:szCs w:val="32"/>
        </w:rPr>
        <w:t>（二）上级补助收入情况：</w:t>
      </w:r>
      <w:r>
        <w:rPr>
          <w:rFonts w:hint="eastAsia" w:ascii="仿宋_GB2312" w:eastAsia="仿宋_GB2312"/>
          <w:kern w:val="0"/>
          <w:sz w:val="32"/>
          <w:szCs w:val="32"/>
        </w:rPr>
        <w:t>2017年，上级补助收入127010万元，其中：返还性收入1190万元，专项转移支付收入58069万元，基金转移支付收入396万元；一般性转移支付收入67355万元，包括：体制补助收入3040万元，均衡性转移支付收入15460万元，县级基本财力保障机制奖补资金收入9131万元，结算补助收入198万元，资源枯竭型城市转移支付补助收入4835万元，城乡义务教育转移支付收入1466万元，城乡居民医疗保险转移支付收入3056万元，固定数额补助收入16991万元，贫困地区转移支付收入10734万元，其他一般性转移支付收入2444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（三）调入资金情况：</w:t>
      </w:r>
      <w:r>
        <w:rPr>
          <w:rFonts w:hint="eastAsia" w:ascii="仿宋_GB2312" w:eastAsia="仿宋_GB2312"/>
          <w:kern w:val="0"/>
          <w:sz w:val="32"/>
          <w:szCs w:val="32"/>
        </w:rPr>
        <w:t>调入资金145万元，其中从政府性基金调入22万元，从预算外专户调入123万元。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（四）债务转贷收入情况：</w:t>
      </w:r>
      <w:r>
        <w:rPr>
          <w:rFonts w:hint="eastAsia" w:ascii="仿宋_GB2312" w:eastAsia="仿宋_GB2312"/>
          <w:kern w:val="0"/>
          <w:sz w:val="32"/>
          <w:szCs w:val="32"/>
        </w:rPr>
        <w:t>债务转贷收入26895万元，其中新增债券转贷收入24249万元，置换债券转贷收入2646万元。</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（五）上年结余情况：</w:t>
      </w:r>
      <w:r>
        <w:rPr>
          <w:rFonts w:hint="eastAsia" w:ascii="仿宋_GB2312" w:eastAsia="仿宋_GB2312"/>
          <w:kern w:val="0"/>
          <w:sz w:val="32"/>
          <w:szCs w:val="32"/>
        </w:rPr>
        <w:t>政府性基金上年结余488万元。</w:t>
      </w:r>
    </w:p>
    <w:p>
      <w:pPr>
        <w:spacing w:line="560" w:lineRule="exact"/>
        <w:ind w:firstLine="643" w:firstLineChars="200"/>
        <w:rPr>
          <w:rFonts w:ascii="仿宋_GB2312" w:eastAsia="仿宋_GB2312"/>
          <w:kern w:val="0"/>
          <w:sz w:val="32"/>
          <w:szCs w:val="32"/>
        </w:rPr>
      </w:pPr>
      <w:r>
        <w:rPr>
          <w:rFonts w:hint="eastAsia" w:ascii="仿宋_GB2312" w:eastAsia="仿宋_GB2312"/>
          <w:b/>
          <w:bCs/>
          <w:kern w:val="0"/>
          <w:sz w:val="32"/>
          <w:szCs w:val="32"/>
        </w:rPr>
        <w:t>（六）预算稳定调节基金情况：</w:t>
      </w:r>
      <w:r>
        <w:rPr>
          <w:rFonts w:hint="eastAsia" w:ascii="仿宋_GB2312" w:eastAsia="仿宋_GB2312"/>
          <w:kern w:val="0"/>
          <w:sz w:val="32"/>
          <w:szCs w:val="32"/>
        </w:rPr>
        <w:t>调入预算稳定调节基金174万元。</w:t>
      </w:r>
    </w:p>
    <w:p>
      <w:pPr>
        <w:spacing w:line="560" w:lineRule="exact"/>
        <w:ind w:firstLine="643" w:firstLineChars="200"/>
        <w:rPr>
          <w:rFonts w:ascii="黑体" w:eastAsia="黑体"/>
          <w:b/>
          <w:kern w:val="0"/>
          <w:sz w:val="32"/>
          <w:szCs w:val="32"/>
        </w:rPr>
      </w:pPr>
      <w:r>
        <w:rPr>
          <w:rFonts w:hint="eastAsia" w:ascii="黑体" w:eastAsia="黑体"/>
          <w:b/>
          <w:kern w:val="0"/>
          <w:sz w:val="32"/>
          <w:szCs w:val="32"/>
        </w:rPr>
        <w:t>五、财政支出完成情况</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（一）2017年度托里县地方财政预算支出完成情况：</w:t>
      </w:r>
      <w:r>
        <w:rPr>
          <w:rFonts w:hint="eastAsia" w:ascii="仿宋_GB2312" w:eastAsia="仿宋_GB2312"/>
          <w:kern w:val="0"/>
          <w:sz w:val="32"/>
          <w:szCs w:val="32"/>
        </w:rPr>
        <w:t>2017年度托里县地方财政预算支出173265万元，其中：一般公共预算本级支出171787万元，政府性基金本级支出1478万元。</w:t>
      </w:r>
    </w:p>
    <w:p>
      <w:pPr>
        <w:spacing w:line="560" w:lineRule="exact"/>
        <w:rPr>
          <w:rFonts w:ascii="仿宋_GB2312" w:eastAsia="仿宋_GB2312"/>
          <w:kern w:val="0"/>
          <w:sz w:val="32"/>
          <w:szCs w:val="32"/>
        </w:rPr>
      </w:pPr>
      <w:r>
        <w:rPr>
          <w:rFonts w:hint="eastAsia" w:ascii="仿宋_GB2312" w:eastAsia="仿宋_GB2312"/>
          <w:b/>
          <w:kern w:val="0"/>
          <w:sz w:val="32"/>
          <w:szCs w:val="32"/>
        </w:rPr>
        <w:t xml:space="preserve">    （二）上解支出完成情况：</w:t>
      </w:r>
      <w:r>
        <w:rPr>
          <w:rFonts w:hint="eastAsia" w:ascii="仿宋_GB2312" w:eastAsia="仿宋_GB2312"/>
          <w:kern w:val="0"/>
          <w:sz w:val="32"/>
          <w:szCs w:val="32"/>
        </w:rPr>
        <w:t>上解专项支出1064万元。其中：上解交通专项资金125万元，上解人才发展专项资金897万元，上解农田水利建设资金42万元。</w:t>
      </w:r>
    </w:p>
    <w:p>
      <w:pPr>
        <w:spacing w:line="560" w:lineRule="exact"/>
        <w:ind w:firstLine="645"/>
        <w:rPr>
          <w:rFonts w:ascii="仿宋_GB2312" w:eastAsia="仿宋_GB2312"/>
          <w:kern w:val="0"/>
          <w:sz w:val="32"/>
          <w:szCs w:val="32"/>
        </w:rPr>
      </w:pPr>
      <w:r>
        <w:rPr>
          <w:rFonts w:hint="eastAsia" w:ascii="仿宋_GB2312" w:eastAsia="仿宋_GB2312"/>
          <w:b/>
          <w:kern w:val="0"/>
          <w:sz w:val="32"/>
          <w:szCs w:val="32"/>
        </w:rPr>
        <w:t>（三）债务还本支出情况：</w:t>
      </w:r>
      <w:r>
        <w:rPr>
          <w:rFonts w:hint="eastAsia" w:ascii="仿宋_GB2312" w:eastAsia="仿宋_GB2312"/>
          <w:kern w:val="0"/>
          <w:sz w:val="32"/>
          <w:szCs w:val="32"/>
        </w:rPr>
        <w:t>债务还本支出2646万元。</w:t>
      </w:r>
    </w:p>
    <w:p>
      <w:pPr>
        <w:spacing w:line="560" w:lineRule="exact"/>
        <w:ind w:firstLine="645"/>
        <w:rPr>
          <w:rFonts w:ascii="仿宋_GB2312" w:eastAsia="仿宋_GB2312"/>
          <w:kern w:val="0"/>
          <w:sz w:val="32"/>
          <w:szCs w:val="32"/>
        </w:rPr>
      </w:pPr>
      <w:r>
        <w:rPr>
          <w:rFonts w:hint="eastAsia" w:ascii="仿宋_GB2312" w:eastAsia="仿宋_GB2312"/>
          <w:b/>
          <w:kern w:val="0"/>
          <w:sz w:val="32"/>
          <w:szCs w:val="32"/>
        </w:rPr>
        <w:t>（四）调出资金情况：</w:t>
      </w:r>
      <w:r>
        <w:rPr>
          <w:rFonts w:hint="eastAsia" w:ascii="仿宋_GB2312" w:eastAsia="仿宋_GB2312"/>
          <w:kern w:val="0"/>
          <w:sz w:val="32"/>
          <w:szCs w:val="32"/>
        </w:rPr>
        <w:t>政府性基金调出22万元。</w:t>
      </w:r>
    </w:p>
    <w:p>
      <w:pPr>
        <w:spacing w:line="560" w:lineRule="exact"/>
        <w:rPr>
          <w:rFonts w:ascii="仿宋_GB2312" w:eastAsia="仿宋_GB2312"/>
          <w:kern w:val="0"/>
          <w:sz w:val="32"/>
          <w:szCs w:val="32"/>
        </w:rPr>
      </w:pPr>
      <w:r>
        <w:rPr>
          <w:rFonts w:hint="eastAsia" w:ascii="仿宋_GB2312" w:eastAsia="仿宋_GB2312"/>
          <w:kern w:val="0"/>
          <w:sz w:val="32"/>
          <w:szCs w:val="32"/>
        </w:rPr>
        <w:t xml:space="preserve">   </w:t>
      </w:r>
      <w:r>
        <w:rPr>
          <w:rFonts w:hint="eastAsia" w:ascii="仿宋_GB2312" w:eastAsia="仿宋_GB2312"/>
          <w:b/>
          <w:bCs/>
          <w:kern w:val="0"/>
          <w:sz w:val="32"/>
          <w:szCs w:val="32"/>
        </w:rPr>
        <w:t xml:space="preserve"> </w:t>
      </w:r>
      <w:r>
        <w:rPr>
          <w:rFonts w:hint="eastAsia" w:ascii="仿宋_GB2312" w:eastAsia="仿宋_GB2312"/>
          <w:b/>
          <w:kern w:val="0"/>
          <w:sz w:val="32"/>
          <w:szCs w:val="32"/>
        </w:rPr>
        <w:t>（五）结转下年情况：</w:t>
      </w:r>
      <w:r>
        <w:rPr>
          <w:rFonts w:hint="eastAsia" w:ascii="仿宋_GB2312" w:eastAsia="仿宋_GB2312"/>
          <w:kern w:val="0"/>
          <w:sz w:val="32"/>
          <w:szCs w:val="32"/>
        </w:rPr>
        <w:t>一般公共预算结转下年22万元，政府性基金结转下年289万元。</w:t>
      </w:r>
    </w:p>
    <w:p>
      <w:pPr>
        <w:spacing w:line="560" w:lineRule="exact"/>
        <w:ind w:firstLine="643" w:firstLineChars="200"/>
        <w:rPr>
          <w:rFonts w:ascii="仿宋_GB2312" w:eastAsia="仿宋_GB2312"/>
          <w:b/>
          <w:kern w:val="0"/>
          <w:sz w:val="32"/>
          <w:szCs w:val="32"/>
        </w:rPr>
      </w:pPr>
      <w:r>
        <w:rPr>
          <w:rFonts w:hint="eastAsia" w:ascii="仿宋_GB2312" w:eastAsia="仿宋_GB2312"/>
          <w:b/>
          <w:kern w:val="0"/>
          <w:sz w:val="32"/>
          <w:szCs w:val="32"/>
        </w:rPr>
        <w:drawing>
          <wp:anchor distT="0" distB="0" distL="114300" distR="114300" simplePos="0" relativeHeight="251671552" behindDoc="0" locked="0" layoutInCell="1" allowOverlap="1">
            <wp:simplePos x="0" y="0"/>
            <wp:positionH relativeFrom="column">
              <wp:posOffset>5364480</wp:posOffset>
            </wp:positionH>
            <wp:positionV relativeFrom="paragraph">
              <wp:posOffset>295275</wp:posOffset>
            </wp:positionV>
            <wp:extent cx="5486400" cy="3705225"/>
            <wp:effectExtent l="19050" t="0" r="19050" b="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eastAsia="仿宋_GB2312"/>
          <w:b/>
          <w:kern w:val="0"/>
          <w:sz w:val="32"/>
          <w:szCs w:val="32"/>
        </w:rPr>
        <w:t>（六）地方财政支出情况：</w:t>
      </w:r>
    </w:p>
    <w:p>
      <w:pPr>
        <w:spacing w:line="520" w:lineRule="exact"/>
        <w:ind w:firstLine="633" w:firstLineChars="198"/>
        <w:rPr>
          <w:rFonts w:ascii="仿宋_GB2312" w:eastAsia="仿宋_GB2312"/>
          <w:kern w:val="0"/>
          <w:sz w:val="32"/>
          <w:szCs w:val="32"/>
        </w:rPr>
      </w:pPr>
      <w:r>
        <w:rPr>
          <w:rFonts w:hint="eastAsia" w:ascii="仿宋_GB2312" w:eastAsia="仿宋_GB2312"/>
          <w:kern w:val="0"/>
          <w:sz w:val="32"/>
          <w:szCs w:val="32"/>
        </w:rPr>
        <w:t>1、一般公共预算支出171787万元, 较上年增支6788万元，增长4.1%。</w:t>
      </w:r>
    </w:p>
    <w:p>
      <w:pPr>
        <w:spacing w:line="520" w:lineRule="exact"/>
        <w:ind w:firstLine="633" w:firstLineChars="198"/>
        <w:rPr>
          <w:rFonts w:ascii="仿宋_GB2312" w:eastAsia="仿宋_GB2312"/>
          <w:kern w:val="0"/>
          <w:sz w:val="32"/>
          <w:szCs w:val="32"/>
        </w:rPr>
      </w:pPr>
      <w:r>
        <w:rPr>
          <w:rFonts w:hint="eastAsia" w:ascii="仿宋_GB2312" w:eastAsia="仿宋_GB2312"/>
          <w:kern w:val="0"/>
          <w:sz w:val="32"/>
          <w:szCs w:val="32"/>
        </w:rPr>
        <w:t>（1）从各项支出的占比情况来看，教育支出占一般公共预算支出的比重最大，达到17.4%，其次是农林水事务支出，占比达15.3%，另外社会保障和就业支出、交通运输支出、一般公共服务支出、公共安全支出占比较大，分别达到12.5%、11.7%、11.6%、6.9%。</w:t>
      </w:r>
    </w:p>
    <w:p>
      <w:pPr>
        <w:spacing w:line="540" w:lineRule="exact"/>
        <w:ind w:firstLine="640" w:firstLineChars="200"/>
        <w:rPr>
          <w:rFonts w:ascii="仿宋_GB2312" w:eastAsia="仿宋_GB2312"/>
          <w:kern w:val="0"/>
          <w:sz w:val="32"/>
          <w:szCs w:val="32"/>
        </w:rPr>
      </w:pPr>
      <w:r>
        <w:rPr>
          <w:rFonts w:hint="eastAsia" w:ascii="仿宋_GB2312" w:eastAsia="仿宋_GB2312"/>
          <w:kern w:val="0"/>
          <w:sz w:val="32"/>
          <w:szCs w:val="32"/>
        </w:rPr>
        <w:t>（2）从上下年对比情况来看，增支最大的是交通运输支出，比上年增支19690万元,增长4885.9%，增支主要因为今年</w:t>
      </w:r>
      <w:r>
        <w:rPr>
          <w:rFonts w:hint="eastAsia" w:ascii="仿宋_GB2312" w:eastAsia="仿宋_GB2312"/>
          <w:sz w:val="32"/>
          <w:szCs w:val="32"/>
        </w:rPr>
        <w:t>新增债券用于支付公路建设和克塔铁路建设项目19235万元,其次增支较大的是公共安全支出，</w:t>
      </w:r>
      <w:r>
        <w:rPr>
          <w:rFonts w:hint="eastAsia" w:ascii="仿宋_GB2312" w:eastAsia="仿宋_GB2312"/>
          <w:kern w:val="0"/>
          <w:sz w:val="32"/>
          <w:szCs w:val="32"/>
        </w:rPr>
        <w:t>比上年增支3503万元，增长42.3%；减支最大的是节能环保支出，比上年减支9167万元，下降87.8%，减支主要因为去年有9282万元煤矿职工安置费上级专项支出；减支较大的有城乡社区事务支出、农林水事务支出、教育支出、比上年分别减支4006万元、5628万元、5015万元、下降35.4%、17.7%、14.4%。</w:t>
      </w:r>
    </w:p>
    <w:p>
      <w:pPr>
        <w:spacing w:line="560" w:lineRule="exact"/>
        <w:ind w:firstLine="640" w:firstLineChars="200"/>
        <w:rPr>
          <w:rFonts w:ascii="仿宋_GB2312" w:eastAsia="仿宋_GB2312"/>
          <w:kern w:val="0"/>
          <w:sz w:val="32"/>
          <w:szCs w:val="32"/>
        </w:rPr>
      </w:pPr>
      <w:r>
        <w:rPr>
          <w:rFonts w:hint="eastAsia" w:ascii="仿宋_GB2312" w:eastAsia="仿宋_GB2312"/>
          <w:kern w:val="0"/>
          <w:sz w:val="32"/>
          <w:szCs w:val="32"/>
        </w:rPr>
        <w:drawing>
          <wp:anchor distT="0" distB="0" distL="114300" distR="114300" simplePos="0" relativeHeight="251672576" behindDoc="0" locked="0" layoutInCell="1" allowOverlap="1">
            <wp:simplePos x="0" y="0"/>
            <wp:positionH relativeFrom="column">
              <wp:posOffset>4335780</wp:posOffset>
            </wp:positionH>
            <wp:positionV relativeFrom="paragraph">
              <wp:posOffset>-247650</wp:posOffset>
            </wp:positionV>
            <wp:extent cx="6515100" cy="3800475"/>
            <wp:effectExtent l="19050" t="0" r="19050" b="0"/>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_GB2312" w:eastAsia="仿宋_GB2312"/>
          <w:kern w:val="0"/>
          <w:sz w:val="32"/>
          <w:szCs w:val="32"/>
        </w:rPr>
        <w:t>（3）各类支出预算执行情况：一般公共服务支出19920万元，比上年增支2094万元，增长11.8%；国防支出45万元，比上年增支12万元，增长36.4%；公共安全支出11791万元，比上年增支3503万元，增长42.3%；教育支出29806万元，比上年减支5015万元，下降14.4%；科学技术支出2992万元，比上年减支52万元,下降1.7%；文化体育与传媒支出1622万元，比上年减支291万元，下降15.2%；</w:t>
      </w:r>
      <w:r>
        <w:rPr>
          <w:rFonts w:hint="eastAsia" w:ascii="仿宋_GB2312" w:hAnsi="仿宋_GB2312" w:eastAsia="仿宋_GB2312" w:cs="仿宋_GB2312"/>
          <w:kern w:val="0"/>
          <w:sz w:val="32"/>
          <w:szCs w:val="32"/>
        </w:rPr>
        <w:t>社会保障和就业支出21524万元，比上年增支2145万元,增长11.1%；</w:t>
      </w:r>
      <w:r>
        <w:rPr>
          <w:rFonts w:hint="eastAsia" w:ascii="仿宋_GB2312" w:eastAsia="仿宋_GB2312"/>
          <w:kern w:val="0"/>
          <w:sz w:val="32"/>
          <w:szCs w:val="32"/>
        </w:rPr>
        <w:t>医疗卫生支出11509万元，比上年减支1552万元,下降11.9%,节能环保支出1505万元，比上年减支8932万元，下降85.6%；城乡社区事务支出7318万元，比上年减支4006万元,下降35.4%；农林水事务支出26237万元，比上年减支5628万元,下降17.7%。交通运输事务支出20093万元，比上年增支19690万元,增长4885.9%；资源勘探电力信息等事务支出243万元，比上年增支52万元，增长27.2%。商业服务业等事务支出1879万元，比上年增支891万元，增长90.2%。国土资源气象等事务支出913万元，比上年减支466万元，下降33.8%。保障性住房支出8599万元，比上年减支334万元，下降3.7%。粮油物资储备支出111万元，比上年减支64万元,下降36.6%。其他支出4811万元，比上年增支4291万元,增长825.2%。债务付息支出848万元，比上年增支438万元，增长106.8%。债务发行费用支出21万元。比上年增支12万元，增长133.3%。</w:t>
      </w:r>
    </w:p>
    <w:p>
      <w:pPr>
        <w:spacing w:line="560" w:lineRule="exact"/>
        <w:ind w:firstLine="640" w:firstLineChars="200"/>
        <w:rPr>
          <w:rFonts w:ascii="仿宋_GB2312" w:eastAsia="仿宋_GB2312"/>
          <w:kern w:val="0"/>
          <w:sz w:val="32"/>
          <w:szCs w:val="32"/>
        </w:rPr>
      </w:pPr>
      <w:r>
        <w:rPr>
          <w:rFonts w:hint="eastAsia" w:ascii="仿宋_GB2312" w:eastAsia="仿宋_GB2312"/>
          <w:kern w:val="0"/>
          <w:sz w:val="32"/>
          <w:szCs w:val="32"/>
        </w:rPr>
        <w:t>2、政府性基金本级支出1478万元, 比上年减支1138万元，下降43.5%，其中：国有土地使用权出让相关支出698万元，农业土地开发资金相关支出23万元，城市基础设施配套费相关支出313万元，彩票公益金相关支出444万元。</w:t>
      </w:r>
    </w:p>
    <w:p>
      <w:pPr>
        <w:widowControl/>
        <w:spacing w:line="560" w:lineRule="exact"/>
        <w:ind w:firstLine="640"/>
        <w:jc w:val="left"/>
        <w:rPr>
          <w:rFonts w:ascii="黑体" w:eastAsia="黑体"/>
          <w:b/>
          <w:kern w:val="0"/>
          <w:sz w:val="32"/>
          <w:szCs w:val="32"/>
        </w:rPr>
      </w:pPr>
      <w:r>
        <w:rPr>
          <w:rFonts w:hint="eastAsia" w:ascii="黑体" w:eastAsia="黑体"/>
          <w:b/>
          <w:kern w:val="0"/>
          <w:sz w:val="32"/>
          <w:szCs w:val="32"/>
        </w:rPr>
        <w:t>六、突出民生支出，构建和谐稳定托里</w:t>
      </w:r>
    </w:p>
    <w:p>
      <w:pPr>
        <w:widowControl/>
        <w:spacing w:line="560" w:lineRule="exact"/>
        <w:ind w:firstLine="643"/>
        <w:jc w:val="left"/>
        <w:rPr>
          <w:rFonts w:ascii="仿宋_GB2312" w:eastAsia="仿宋_GB2312"/>
          <w:kern w:val="0"/>
          <w:sz w:val="32"/>
          <w:szCs w:val="32"/>
        </w:rPr>
      </w:pPr>
      <w:r>
        <w:rPr>
          <w:rFonts w:hint="eastAsia" w:ascii="仿宋_GB2312" w:eastAsia="仿宋_GB2312"/>
          <w:kern w:val="0"/>
          <w:sz w:val="32"/>
          <w:szCs w:val="32"/>
        </w:rPr>
        <w:t>我县不断调整优化支出结构，在保证基本运作和重点项目的基础上，支出重点向民生项目倾斜，新增财力集中用于保障和改善民生。</w:t>
      </w:r>
    </w:p>
    <w:p>
      <w:pPr>
        <w:widowControl/>
        <w:spacing w:line="560" w:lineRule="exact"/>
        <w:ind w:firstLine="643" w:firstLineChars="200"/>
        <w:jc w:val="left"/>
        <w:rPr>
          <w:rFonts w:ascii="仿宋" w:hAnsi="仿宋" w:eastAsia="仿宋" w:cs="宋体"/>
          <w:b/>
          <w:kern w:val="0"/>
          <w:sz w:val="32"/>
          <w:szCs w:val="32"/>
        </w:rPr>
      </w:pPr>
      <w:r>
        <w:rPr>
          <w:rFonts w:hint="eastAsia" w:ascii="仿宋_GB2312" w:eastAsia="仿宋_GB2312"/>
          <w:b/>
          <w:kern w:val="0"/>
          <w:sz w:val="32"/>
          <w:szCs w:val="32"/>
        </w:rPr>
        <w:t>（一）支持教育优先发展</w:t>
      </w:r>
    </w:p>
    <w:p>
      <w:pPr>
        <w:widowControl/>
        <w:spacing w:line="560" w:lineRule="exact"/>
        <w:ind w:firstLine="640" w:firstLineChars="200"/>
        <w:jc w:val="left"/>
        <w:rPr>
          <w:rFonts w:ascii="仿宋_GB2312" w:hAnsi="仿宋" w:eastAsia="仿宋_GB2312"/>
          <w:kern w:val="0"/>
          <w:sz w:val="32"/>
          <w:szCs w:val="32"/>
        </w:rPr>
      </w:pPr>
      <w:r>
        <w:rPr>
          <w:rFonts w:hint="eastAsia" w:ascii="仿宋_GB2312" w:hAnsi="仿宋" w:eastAsia="仿宋_GB2312"/>
          <w:kern w:val="0"/>
          <w:sz w:val="32"/>
          <w:szCs w:val="32"/>
        </w:rPr>
        <w:t>2017年财政对教育投入总额为32986万元，其中教育工程设备投资为6292万元。</w:t>
      </w:r>
      <w:r>
        <w:rPr>
          <w:rFonts w:hint="eastAsia" w:ascii="仿宋_GB2312" w:hAnsi="仿宋" w:eastAsia="仿宋_GB2312"/>
          <w:b/>
          <w:kern w:val="0"/>
          <w:sz w:val="32"/>
          <w:szCs w:val="32"/>
        </w:rPr>
        <w:t>一是</w:t>
      </w:r>
      <w:r>
        <w:rPr>
          <w:rFonts w:hint="eastAsia" w:ascii="仿宋_GB2312" w:hAnsi="仿宋" w:eastAsia="仿宋_GB2312"/>
          <w:kern w:val="0"/>
          <w:sz w:val="32"/>
          <w:szCs w:val="32"/>
        </w:rPr>
        <w:t>全县共免除城乡义务教育阶段学生学杂费1032万元，其中：中央资金794万元、自治区资金155万元、县级资金82万元，受益学生15157人。2017年全年安排寄宿生生活补助资金161万元，其中中央资金44万元、自治区资金42万元、县级资金75万元，受益学生2799人。</w:t>
      </w:r>
      <w:r>
        <w:rPr>
          <w:rFonts w:hint="eastAsia" w:ascii="仿宋_GB2312" w:hAnsi="仿宋" w:eastAsia="仿宋_GB2312"/>
          <w:b/>
          <w:kern w:val="0"/>
          <w:sz w:val="32"/>
          <w:szCs w:val="32"/>
        </w:rPr>
        <w:t>二是</w:t>
      </w:r>
      <w:r>
        <w:rPr>
          <w:rFonts w:hint="eastAsia" w:ascii="仿宋_GB2312" w:hAnsi="仿宋" w:eastAsia="仿宋_GB2312"/>
          <w:kern w:val="0"/>
          <w:sz w:val="32"/>
          <w:szCs w:val="32"/>
        </w:rPr>
        <w:t>2017年拨付学生营养改善资金756万元，受益学生人数为12586人。</w:t>
      </w:r>
      <w:r>
        <w:rPr>
          <w:rFonts w:hint="eastAsia" w:ascii="仿宋_GB2312" w:hAnsi="仿宋" w:eastAsia="仿宋_GB2312"/>
          <w:b/>
          <w:kern w:val="0"/>
          <w:sz w:val="32"/>
          <w:szCs w:val="32"/>
        </w:rPr>
        <w:t>三是</w:t>
      </w:r>
      <w:r>
        <w:rPr>
          <w:rFonts w:hint="eastAsia" w:ascii="仿宋_GB2312" w:hAnsi="仿宋" w:eastAsia="仿宋_GB2312"/>
          <w:kern w:val="0"/>
          <w:sz w:val="32"/>
          <w:szCs w:val="32"/>
        </w:rPr>
        <w:t>按自治区定标准和批准项目安排农村义务教育薄弱学校改造下达资金共计1184万元，新增校舍面积8702平方米，主要包括：2017年为第二小学新建综合楼建筑面积3502平方米，投资700万元；为10所学校实施附属设施建设（其中：暖气室内改造面积300平方米，校园硬化面积6400平方米），投资103万元。</w:t>
      </w:r>
      <w:r>
        <w:rPr>
          <w:rFonts w:hint="eastAsia" w:ascii="仿宋_GB2312" w:hAnsi="仿宋" w:eastAsia="仿宋_GB2312"/>
          <w:b/>
          <w:kern w:val="0"/>
          <w:sz w:val="32"/>
          <w:szCs w:val="32"/>
        </w:rPr>
        <w:t>四是</w:t>
      </w:r>
      <w:r>
        <w:rPr>
          <w:rFonts w:hint="eastAsia" w:ascii="仿宋_GB2312" w:hAnsi="仿宋" w:eastAsia="仿宋_GB2312"/>
          <w:kern w:val="0"/>
          <w:sz w:val="32"/>
          <w:szCs w:val="32"/>
        </w:rPr>
        <w:t>2017年教育现代化推进工程中央基建投资预算项目，2017年托里县庙尔沟镇寄宿制希望学校综合楼、运动场建设项目，于2017年计划新建庙尔沟镇寄宿制希望学校综合楼、浴室、运动场建设项目。项目总投资1265万元（全部为中央资金），总建筑面积2600平方米，300米标准塑胶运动场及看台主席台，已支付工程款201万元。</w:t>
      </w:r>
      <w:r>
        <w:rPr>
          <w:rFonts w:hint="eastAsia" w:ascii="仿宋_GB2312" w:hAnsi="仿宋" w:eastAsia="仿宋_GB2312"/>
          <w:b/>
          <w:kern w:val="0"/>
          <w:sz w:val="32"/>
          <w:szCs w:val="32"/>
        </w:rPr>
        <w:t>五是</w:t>
      </w:r>
      <w:r>
        <w:rPr>
          <w:rFonts w:hint="eastAsia" w:ascii="仿宋_GB2312" w:hAnsi="仿宋" w:eastAsia="仿宋_GB2312"/>
          <w:kern w:val="0"/>
          <w:sz w:val="32"/>
          <w:szCs w:val="32"/>
        </w:rPr>
        <w:t>支持高中教育。1、国家普通高中助学金：下拨普通高中助学金130万元，受益学生人数651人。2、高中免费教育经费： 2017年度我县共拨付春季高中免费教育经费204万元，其中高中贫困寄宿生生活补助75万元，补助人数为325人；高中公用经费109万元；高中书费14万元，高中学生体检费6万元。3、2017年普通高中建档立卡家庭经济困难学生免学杂费补助资金71万元，受益学生916人。4、拨付托里县国家教育考试标准化考点建设项目二期资金100万元，用于高考考场建设。</w:t>
      </w:r>
      <w:r>
        <w:rPr>
          <w:rFonts w:hint="eastAsia" w:ascii="仿宋_GB2312" w:hAnsi="仿宋" w:eastAsia="仿宋_GB2312"/>
          <w:b/>
          <w:kern w:val="0"/>
          <w:sz w:val="32"/>
          <w:szCs w:val="32"/>
        </w:rPr>
        <w:t>六是</w:t>
      </w:r>
      <w:r>
        <w:rPr>
          <w:rFonts w:hint="eastAsia" w:ascii="仿宋_GB2312" w:hAnsi="仿宋" w:eastAsia="仿宋_GB2312"/>
          <w:kern w:val="0"/>
          <w:sz w:val="32"/>
          <w:szCs w:val="32"/>
        </w:rPr>
        <w:t>2017年度拨付农村学前教育经费保障机制资金866万元。其中自治区资金326万元，县级资金540万元（幼儿伙食补助每生每年1450元；幼儿保教费每生每年1100元；取暖费补助每生每年120元）。</w:t>
      </w:r>
      <w:r>
        <w:rPr>
          <w:rFonts w:hint="eastAsia" w:ascii="仿宋_GB2312" w:hAnsi="仿宋" w:eastAsia="仿宋_GB2312"/>
          <w:b/>
          <w:kern w:val="0"/>
          <w:sz w:val="32"/>
          <w:szCs w:val="32"/>
        </w:rPr>
        <w:t>七是</w:t>
      </w:r>
      <w:r>
        <w:rPr>
          <w:rFonts w:hint="eastAsia" w:ascii="仿宋_GB2312" w:hAnsi="仿宋" w:eastAsia="仿宋_GB2312"/>
          <w:kern w:val="0"/>
          <w:sz w:val="32"/>
          <w:szCs w:val="32"/>
        </w:rPr>
        <w:t>拨付2017年教育系统政府专项津贴271万元。</w:t>
      </w:r>
    </w:p>
    <w:p>
      <w:pPr>
        <w:spacing w:line="560" w:lineRule="exact"/>
        <w:ind w:firstLine="643" w:firstLineChars="200"/>
        <w:rPr>
          <w:rFonts w:ascii="仿宋_GB2312" w:eastAsia="仿宋_GB2312"/>
          <w:b/>
          <w:kern w:val="0"/>
          <w:sz w:val="32"/>
          <w:szCs w:val="32"/>
        </w:rPr>
      </w:pPr>
      <w:r>
        <w:rPr>
          <w:rFonts w:hint="eastAsia" w:ascii="仿宋_GB2312" w:eastAsia="仿宋_GB2312"/>
          <w:b/>
          <w:kern w:val="0"/>
          <w:sz w:val="32"/>
          <w:szCs w:val="32"/>
        </w:rPr>
        <w:t>（二）落实支农惠农政策</w:t>
      </w:r>
    </w:p>
    <w:p>
      <w:pPr>
        <w:spacing w:line="560" w:lineRule="exact"/>
        <w:ind w:firstLine="640" w:firstLineChars="200"/>
        <w:rPr>
          <w:rFonts w:ascii="仿宋_GB2312" w:eastAsia="仿宋_GB2312"/>
          <w:kern w:val="0"/>
          <w:sz w:val="32"/>
          <w:szCs w:val="32"/>
        </w:rPr>
      </w:pPr>
      <w:r>
        <w:rPr>
          <w:rFonts w:hint="eastAsia" w:ascii="仿宋_GB2312" w:hAnsi="仿宋_GB2312" w:eastAsia="仿宋_GB2312" w:cs="仿宋_GB2312"/>
          <w:kern w:val="0"/>
          <w:sz w:val="32"/>
          <w:szCs w:val="32"/>
        </w:rPr>
        <w:t>2017年自治区下达涉农整合资金15844万元，其中：中央15470万元，自治区374万元。按照资金类别分为：财政专项扶贫资金6560万元，林业和森林培育1252万元，农村综合改革转移支付资金1277万元，土地冶理544万元，其他国土事务资金120万元，教育资金2170万元，交通736万元，产粮大县305万元，彩票资金50万元，农村危房资金2466万元，水利资金169万元等。</w:t>
      </w:r>
      <w:r>
        <w:rPr>
          <w:rFonts w:hint="eastAsia" w:ascii="仿宋_GB2312" w:eastAsia="仿宋_GB2312"/>
          <w:kern w:val="0"/>
          <w:sz w:val="32"/>
          <w:szCs w:val="32"/>
        </w:rPr>
        <w:t>全县共发放耕地力保护补贴、草原生态保护奖补资金、粮食直补资金、棉花目标价格补贴及农机具购置补贴等八项补贴，共计5843万元，受益农户9975户。托里县为进一步推进社会主义新农村建设，2017年申请将乌雪特乡达尔布特村纳入美丽乡村试点村项目，并拨付资金200万元。根据上级要求从2017年开始，在各乡镇全面开展美丽乡村建设活动。力争到2020年实现“美丽乡村”建设全覆盖。</w:t>
      </w:r>
    </w:p>
    <w:p>
      <w:pPr>
        <w:spacing w:line="560" w:lineRule="exact"/>
        <w:ind w:left="643"/>
        <w:rPr>
          <w:rFonts w:ascii="仿宋_GB2312" w:eastAsia="仿宋_GB2312"/>
          <w:b/>
          <w:kern w:val="0"/>
          <w:sz w:val="32"/>
          <w:szCs w:val="32"/>
        </w:rPr>
      </w:pPr>
      <w:r>
        <w:rPr>
          <w:rFonts w:hint="eastAsia" w:ascii="仿宋_GB2312" w:eastAsia="仿宋_GB2312"/>
          <w:b/>
          <w:kern w:val="0"/>
          <w:sz w:val="32"/>
          <w:szCs w:val="32"/>
        </w:rPr>
        <w:t>（三）积极推进扶贫支农资金整合工作</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2017年共到位财政专项扶贫资金6560万元，包括：发展资金4989万元、以工代赈资金500万元，少数民族发展资金1071万元。</w:t>
      </w:r>
    </w:p>
    <w:p>
      <w:pPr>
        <w:widowControl/>
        <w:spacing w:line="560" w:lineRule="exact"/>
        <w:ind w:firstLine="643"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发展资金</w:t>
      </w:r>
      <w:r>
        <w:rPr>
          <w:rFonts w:hint="eastAsia" w:ascii="仿宋_GB2312" w:hAnsi="仿宋_GB2312" w:eastAsia="仿宋_GB2312" w:cs="仿宋_GB2312"/>
          <w:kern w:val="0"/>
          <w:sz w:val="32"/>
          <w:szCs w:val="32"/>
        </w:rPr>
        <w:t>共到位资金4989万元，第一批资金为中央提前下达财政专项扶贫资金（发展资金）2179万元，第二批资金为自治区财政专项扶贫资金（发展资金）230万元。第三批资金为中央新增财政扶贫资金（发展资金）2580万元。目前已下达自主审批共新上项目64个。其中，安排200万元新建200户贫困户安居房，每户补助1万元；产业发展项目7个1085万元，扶持82户贫困户发展庭院经济、为44户采购产业发展房、50户手套机及配套、10台吨袋编制机及配套、为201户购买201万元生产畜、新建活畜交易市场1处；水利项目5个854万元，为重点村新建防洪坝3.1公里、大口井32个、防洪堤8公里、取水首部1座、供水管网10公里、水源地防护2处、维修水塔1座、新建水塔1座、管道改造6公里；其他项目3个161万元，为177户贫困户安装暖气、为54户贫困户新建牲畜棚圈54座。培训项目10个109万元，转移就业技能培训300人、实用技术培训1400人、干部培训150人次。第三批资金2580万项目已下达，分别为：为170户贫困户新建安居房，每户补助2万元；为541户贫困户实施电力入户，每户补助800元；产业发展项目1235万元，产业发展房项目175万元，为70户贫困户安居房改造项目98万元；水利项目3个490万元，培训项目4个53万元，其他项目1个121万元。</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以工代赈资金</w:t>
      </w:r>
      <w:r>
        <w:rPr>
          <w:rFonts w:hint="eastAsia" w:ascii="仿宋_GB2312" w:hAnsi="仿宋_GB2312" w:eastAsia="仿宋_GB2312" w:cs="仿宋_GB2312"/>
          <w:kern w:val="0"/>
          <w:sz w:val="32"/>
          <w:szCs w:val="32"/>
        </w:rPr>
        <w:t>项目已完成下达，为托里县铁斯巴汗水库下游渠道改造工程200万元；库甫乡朗古特勒村精准扶贫水源改造工程300万，项目正在实施。</w:t>
      </w:r>
    </w:p>
    <w:p>
      <w:pPr>
        <w:spacing w:line="56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少数民族发展资金</w:t>
      </w:r>
      <w:r>
        <w:rPr>
          <w:rFonts w:hint="eastAsia" w:ascii="仿宋_GB2312" w:hAnsi="仿宋_GB2312" w:eastAsia="仿宋_GB2312" w:cs="仿宋_GB2312"/>
          <w:kern w:val="0"/>
          <w:sz w:val="32"/>
          <w:szCs w:val="32"/>
        </w:rPr>
        <w:t>目前县民宗委项目15个已全部下达，分别为：养殖类项目8个374万元，为库甫乡、庙尔沟、托里镇、多拉特乡的374户贫困购买新疆褐牛，发展牛奶供应产业和奶制品加工产业；水利项目3个300万元，库甫乡也木其村建设渠道11公里，实现灌溉田地3000亩，庙尔沟镇萨尔哈木斯村、阿合开乃热村新建大口井15处，乌雪特乡玛依哈巴克村改建渠道2.3公里；生产、基础建设类项目3个336万元，阿合别斗乡拉巴村建设冬季饲料储备库基地厂房600平方及值班室宿舍60平米、250米院墙、院内水泥地坪400平方，托里镇建设700平方米保鲜库，铁厂沟镇哈图村道路两旁50盏太阳能路灯；庭院经济项目1个50万元，乌雪特乡达尔布特村购买家禽4000只、经济林20亩树苗，每户鸡苗100只，项目正在实施。</w:t>
      </w:r>
    </w:p>
    <w:p>
      <w:pPr>
        <w:numPr>
          <w:ilvl w:val="0"/>
          <w:numId w:val="2"/>
        </w:numPr>
        <w:spacing w:line="560" w:lineRule="exact"/>
        <w:ind w:firstLine="643" w:firstLineChars="200"/>
        <w:rPr>
          <w:rFonts w:ascii="仿宋_GB2312" w:eastAsia="仿宋_GB2312"/>
          <w:b/>
          <w:kern w:val="0"/>
          <w:sz w:val="32"/>
          <w:szCs w:val="32"/>
        </w:rPr>
      </w:pPr>
      <w:r>
        <w:rPr>
          <w:rFonts w:hint="eastAsia" w:ascii="仿宋_GB2312" w:eastAsia="仿宋_GB2312"/>
          <w:b/>
          <w:kern w:val="0"/>
          <w:sz w:val="32"/>
          <w:szCs w:val="32"/>
        </w:rPr>
        <w:t>加大财政科技文化投入力度</w:t>
      </w:r>
    </w:p>
    <w:p>
      <w:pPr>
        <w:spacing w:line="560" w:lineRule="exact"/>
        <w:ind w:firstLine="640" w:firstLineChars="200"/>
        <w:rPr>
          <w:rFonts w:ascii="仿宋_GB2312" w:eastAsia="仿宋_GB2312"/>
          <w:kern w:val="0"/>
          <w:sz w:val="32"/>
          <w:szCs w:val="32"/>
        </w:rPr>
      </w:pPr>
      <w:r>
        <w:rPr>
          <w:rFonts w:hint="eastAsia" w:ascii="仿宋_GB2312" w:hAnsi="宋体" w:eastAsia="仿宋_GB2312" w:cs="宋体"/>
          <w:bCs/>
          <w:kern w:val="0"/>
          <w:sz w:val="32"/>
          <w:szCs w:val="32"/>
        </w:rPr>
        <w:t>认真落实科技文化投入政策，推动科技文化事业发</w:t>
      </w:r>
      <w:r>
        <w:rPr>
          <w:rFonts w:hint="eastAsia" w:ascii="仿宋_GB2312" w:eastAsia="仿宋_GB2312"/>
          <w:kern w:val="0"/>
          <w:sz w:val="32"/>
          <w:szCs w:val="32"/>
        </w:rPr>
        <w:t>展。2017年共投入了科技经费112万元，其中人员经费95万元，日常公用经费9万元，科普行动计划专项资金8万元；支持文体事业发展，2017年财政对文化投入共计2083万元，其中人员经费1358万元，日常公用经费66万元，图书馆、文化馆、博物馆免费开放经费40万元，第二十一届阿肯阿依特斯文化旅游节活动经费256万元，文化书籍出版资金5万元，农村电影放映场次补贴12万元，中央补助地方公共文化服务体系建设专项资金25万元，2017年文艺院团政府购买演出补助资金13万元，托里县广电网络提升工程项目（边境县转移支付）100万元，2017年春节晚会及社火经费、纳吾孜节文艺演出经费30万元，筹集无线数字电视管理中心运行费60万元，电视节目无线覆盖运行维护费130万元，广播电视西新工程12万元，更新和维修文化活动中心音响设备资金26万元。</w:t>
      </w:r>
    </w:p>
    <w:p>
      <w:pPr>
        <w:widowControl/>
        <w:spacing w:line="560" w:lineRule="exact"/>
        <w:ind w:firstLine="643"/>
        <w:jc w:val="left"/>
        <w:rPr>
          <w:rFonts w:ascii="仿宋_GB2312" w:eastAsia="仿宋_GB2312"/>
          <w:b/>
          <w:kern w:val="0"/>
          <w:sz w:val="32"/>
          <w:szCs w:val="32"/>
        </w:rPr>
      </w:pPr>
      <w:r>
        <w:rPr>
          <w:rFonts w:hint="eastAsia" w:ascii="仿宋_GB2312" w:eastAsia="仿宋_GB2312"/>
          <w:b/>
          <w:kern w:val="0"/>
          <w:sz w:val="32"/>
          <w:szCs w:val="32"/>
        </w:rPr>
        <w:t>（五）落实社会保障和就业政策</w:t>
      </w:r>
    </w:p>
    <w:p>
      <w:pPr>
        <w:widowControl/>
        <w:spacing w:line="56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社会保障制度不断完善，扎实推进城乡最低生活保障制度有序发展。</w:t>
      </w:r>
      <w:r>
        <w:rPr>
          <w:rFonts w:hint="eastAsia" w:ascii="仿宋_GB2312" w:hAnsi="仿宋" w:eastAsia="仿宋_GB2312"/>
          <w:kern w:val="0"/>
          <w:sz w:val="32"/>
          <w:szCs w:val="32"/>
        </w:rPr>
        <w:t>全县城镇人员实现就业再就业4100人、农牧业富余劳动力转移就业1.221万人,拨付就业补助资金1410万元。</w:t>
      </w:r>
      <w:r>
        <w:rPr>
          <w:rFonts w:hint="eastAsia" w:ascii="仿宋_GB2312" w:hAnsi="宋体" w:eastAsia="仿宋_GB2312"/>
          <w:kern w:val="0"/>
          <w:sz w:val="32"/>
          <w:szCs w:val="32"/>
        </w:rPr>
        <w:t>共保障城市低保对象15614户次39672人次，发放保障金1245万元;保障农村低保对象23472户次69588人次，发放保障金1420万元</w:t>
      </w:r>
      <w:r>
        <w:rPr>
          <w:rFonts w:hint="eastAsia" w:ascii="仿宋_GB2312" w:eastAsia="仿宋_GB2312"/>
          <w:kern w:val="0"/>
          <w:sz w:val="32"/>
          <w:szCs w:val="32"/>
        </w:rPr>
        <w:t>。发放孤儿生活费125万元，拨付自然灾害资金820万元，拨付社会救助补助资金300万元。支付机关事业单位基本养老保险缴费6475万元，对机关事业单位基本养老保险基金的补助4454万元，对城乡居民基本养老保险基金的补助708万元，对新型农村合作医疗基金的补助2700万元。</w:t>
      </w:r>
    </w:p>
    <w:p>
      <w:pPr>
        <w:widowControl/>
        <w:shd w:val="clear" w:color="auto" w:fill="FFFFFF"/>
        <w:snapToGrid w:val="0"/>
        <w:spacing w:line="560" w:lineRule="exact"/>
        <w:ind w:firstLine="643" w:firstLineChars="200"/>
        <w:jc w:val="left"/>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（六）扎实推进保障性住房建设</w:t>
      </w:r>
    </w:p>
    <w:p>
      <w:pPr>
        <w:widowControl/>
        <w:spacing w:line="560" w:lineRule="exact"/>
        <w:ind w:firstLine="640" w:firstLineChars="200"/>
        <w:jc w:val="left"/>
        <w:rPr>
          <w:rFonts w:ascii="仿宋_GB2312" w:eastAsia="仿宋_GB2312"/>
          <w:kern w:val="0"/>
          <w:sz w:val="32"/>
          <w:szCs w:val="32"/>
        </w:rPr>
      </w:pPr>
      <w:r>
        <w:rPr>
          <w:rFonts w:hint="eastAsia" w:ascii="仿宋_GB2312" w:eastAsia="仿宋_GB2312"/>
          <w:kern w:val="0"/>
          <w:sz w:val="32"/>
          <w:szCs w:val="32"/>
        </w:rPr>
        <w:t>为提高托里县城镇居民居住条件，进一步完成城市棚户区改造、安居富民工程、固定资产投资计划，托里县扎实推进保障性住房建设。</w:t>
      </w:r>
      <w:r>
        <w:rPr>
          <w:rFonts w:hint="eastAsia" w:ascii="仿宋_GB2312" w:eastAsia="仿宋_GB2312"/>
          <w:b/>
          <w:kern w:val="0"/>
          <w:sz w:val="32"/>
          <w:szCs w:val="32"/>
        </w:rPr>
        <w:t>一是</w:t>
      </w:r>
      <w:r>
        <w:rPr>
          <w:rFonts w:hint="eastAsia" w:ascii="仿宋_GB2312" w:eastAsia="仿宋_GB2312"/>
          <w:kern w:val="0"/>
          <w:sz w:val="32"/>
          <w:szCs w:val="32"/>
        </w:rPr>
        <w:t>实施</w:t>
      </w:r>
      <w:r>
        <w:rPr>
          <w:rFonts w:ascii="仿宋_GB2312" w:eastAsia="仿宋_GB2312"/>
          <w:kern w:val="0"/>
          <w:sz w:val="32"/>
          <w:szCs w:val="32"/>
        </w:rPr>
        <w:t>2016</w:t>
      </w:r>
      <w:r>
        <w:rPr>
          <w:rFonts w:hint="eastAsia" w:ascii="仿宋_GB2312" w:eastAsia="仿宋_GB2312"/>
          <w:kern w:val="0"/>
          <w:sz w:val="32"/>
          <w:szCs w:val="32"/>
        </w:rPr>
        <w:t>年棚户区改造结转项目，改造棚户区住房</w:t>
      </w:r>
      <w:r>
        <w:rPr>
          <w:rFonts w:ascii="仿宋_GB2312" w:eastAsia="仿宋_GB2312"/>
          <w:kern w:val="0"/>
          <w:sz w:val="32"/>
          <w:szCs w:val="32"/>
        </w:rPr>
        <w:t>297</w:t>
      </w:r>
      <w:r>
        <w:rPr>
          <w:rFonts w:hint="eastAsia" w:ascii="仿宋_GB2312" w:eastAsia="仿宋_GB2312"/>
          <w:kern w:val="0"/>
          <w:sz w:val="32"/>
          <w:szCs w:val="32"/>
        </w:rPr>
        <w:t>户，总建筑面积</w:t>
      </w:r>
      <w:r>
        <w:rPr>
          <w:rFonts w:ascii="仿宋_GB2312" w:eastAsia="仿宋_GB2312"/>
          <w:kern w:val="0"/>
          <w:sz w:val="32"/>
          <w:szCs w:val="32"/>
        </w:rPr>
        <w:t>3.8</w:t>
      </w:r>
      <w:r>
        <w:rPr>
          <w:rFonts w:hint="eastAsia" w:ascii="仿宋_GB2312" w:eastAsia="仿宋_GB2312"/>
          <w:kern w:val="0"/>
          <w:sz w:val="32"/>
          <w:szCs w:val="32"/>
        </w:rPr>
        <w:t>万㎡，总投入5500万元；</w:t>
      </w:r>
      <w:r>
        <w:rPr>
          <w:rFonts w:hint="eastAsia" w:ascii="仿宋_GB2312" w:eastAsia="仿宋_GB2312"/>
          <w:b/>
          <w:kern w:val="0"/>
          <w:sz w:val="32"/>
          <w:szCs w:val="32"/>
        </w:rPr>
        <w:t>二是</w:t>
      </w:r>
      <w:r>
        <w:rPr>
          <w:rFonts w:hint="eastAsia" w:ascii="仿宋_GB2312" w:eastAsia="仿宋_GB2312"/>
          <w:kern w:val="0"/>
          <w:sz w:val="32"/>
          <w:szCs w:val="32"/>
        </w:rPr>
        <w:t>实施</w:t>
      </w:r>
      <w:r>
        <w:rPr>
          <w:rFonts w:ascii="仿宋_GB2312" w:eastAsia="仿宋_GB2312"/>
          <w:kern w:val="0"/>
          <w:sz w:val="32"/>
          <w:szCs w:val="32"/>
        </w:rPr>
        <w:t>2017</w:t>
      </w:r>
      <w:r>
        <w:rPr>
          <w:rFonts w:hint="eastAsia" w:ascii="仿宋_GB2312" w:eastAsia="仿宋_GB2312"/>
          <w:kern w:val="0"/>
          <w:sz w:val="32"/>
          <w:szCs w:val="32"/>
        </w:rPr>
        <w:t>年棚户区改造项目，改造棚户区住房</w:t>
      </w:r>
      <w:r>
        <w:rPr>
          <w:rFonts w:ascii="仿宋_GB2312" w:eastAsia="仿宋_GB2312"/>
          <w:kern w:val="0"/>
          <w:sz w:val="32"/>
          <w:szCs w:val="32"/>
        </w:rPr>
        <w:t>288</w:t>
      </w:r>
      <w:r>
        <w:rPr>
          <w:rFonts w:hint="eastAsia" w:ascii="仿宋_GB2312" w:eastAsia="仿宋_GB2312"/>
          <w:kern w:val="0"/>
          <w:sz w:val="32"/>
          <w:szCs w:val="32"/>
        </w:rPr>
        <w:t>户，总投入14400万元，其中实物安置</w:t>
      </w:r>
      <w:r>
        <w:rPr>
          <w:rFonts w:ascii="仿宋_GB2312" w:eastAsia="仿宋_GB2312"/>
          <w:kern w:val="0"/>
          <w:sz w:val="32"/>
          <w:szCs w:val="32"/>
        </w:rPr>
        <w:t>188</w:t>
      </w:r>
      <w:r>
        <w:rPr>
          <w:rFonts w:hint="eastAsia" w:ascii="仿宋_GB2312" w:eastAsia="仿宋_GB2312"/>
          <w:kern w:val="0"/>
          <w:sz w:val="32"/>
          <w:szCs w:val="32"/>
        </w:rPr>
        <w:t>户，房屋建筑面积</w:t>
      </w:r>
      <w:r>
        <w:rPr>
          <w:rFonts w:ascii="仿宋_GB2312" w:eastAsia="仿宋_GB2312"/>
          <w:kern w:val="0"/>
          <w:sz w:val="32"/>
          <w:szCs w:val="32"/>
        </w:rPr>
        <w:t>2.3</w:t>
      </w:r>
      <w:r>
        <w:rPr>
          <w:rFonts w:hint="eastAsia" w:ascii="仿宋_GB2312" w:eastAsia="仿宋_GB2312"/>
          <w:kern w:val="0"/>
          <w:sz w:val="32"/>
          <w:szCs w:val="32"/>
        </w:rPr>
        <w:t>万㎡，货币化安置</w:t>
      </w:r>
      <w:r>
        <w:rPr>
          <w:rFonts w:ascii="仿宋_GB2312" w:eastAsia="仿宋_GB2312"/>
          <w:kern w:val="0"/>
          <w:sz w:val="32"/>
          <w:szCs w:val="32"/>
        </w:rPr>
        <w:t>100</w:t>
      </w:r>
      <w:r>
        <w:rPr>
          <w:rFonts w:hint="eastAsia" w:ascii="仿宋_GB2312" w:eastAsia="仿宋_GB2312"/>
          <w:kern w:val="0"/>
          <w:sz w:val="32"/>
          <w:szCs w:val="32"/>
        </w:rPr>
        <w:t>户，项目分三年实施。</w:t>
      </w:r>
      <w:r>
        <w:rPr>
          <w:rFonts w:hint="eastAsia" w:ascii="仿宋_GB2312" w:eastAsia="仿宋_GB2312"/>
          <w:b/>
          <w:kern w:val="0"/>
          <w:sz w:val="32"/>
          <w:szCs w:val="32"/>
        </w:rPr>
        <w:t>三是</w:t>
      </w:r>
      <w:r>
        <w:rPr>
          <w:rFonts w:hint="eastAsia" w:ascii="仿宋_GB2312" w:eastAsia="仿宋_GB2312"/>
          <w:kern w:val="0"/>
          <w:sz w:val="32"/>
          <w:szCs w:val="32"/>
        </w:rPr>
        <w:t>合理安排2017年援建项目资金，用于少数民族地区游牧民定居工程2288万元，用于托里县危旧房改造工程1000万元。</w:t>
      </w:r>
      <w:r>
        <w:rPr>
          <w:rFonts w:hint="eastAsia" w:ascii="仿宋_GB2312" w:eastAsia="仿宋_GB2312"/>
          <w:b/>
          <w:kern w:val="0"/>
          <w:sz w:val="32"/>
          <w:szCs w:val="32"/>
        </w:rPr>
        <w:t>四是</w:t>
      </w:r>
      <w:r>
        <w:rPr>
          <w:rFonts w:hint="eastAsia" w:ascii="仿宋_GB2312" w:eastAsia="仿宋_GB2312"/>
          <w:kern w:val="0"/>
          <w:sz w:val="32"/>
          <w:szCs w:val="32"/>
        </w:rPr>
        <w:t>上级专项用于农村危房改造工程1092万元，用于少数民族游牧民定居工程3254万元。</w:t>
      </w:r>
    </w:p>
    <w:p>
      <w:pPr>
        <w:widowControl/>
        <w:spacing w:line="560" w:lineRule="exact"/>
        <w:ind w:firstLine="643" w:firstLineChars="200"/>
        <w:jc w:val="left"/>
        <w:rPr>
          <w:rFonts w:ascii="仿宋_GB2312" w:eastAsia="仿宋_GB2312"/>
          <w:b/>
          <w:kern w:val="0"/>
          <w:sz w:val="32"/>
          <w:szCs w:val="32"/>
        </w:rPr>
      </w:pPr>
      <w:r>
        <w:rPr>
          <w:rFonts w:hint="eastAsia" w:ascii="仿宋_GB2312" w:eastAsia="仿宋_GB2312"/>
          <w:b/>
          <w:kern w:val="0"/>
          <w:sz w:val="32"/>
          <w:szCs w:val="32"/>
        </w:rPr>
        <w:t>（七）继续保持城乡社区环境卫生良好</w:t>
      </w:r>
    </w:p>
    <w:p>
      <w:pPr>
        <w:widowControl/>
        <w:spacing w:line="560" w:lineRule="exact"/>
        <w:ind w:firstLine="640" w:firstLineChars="200"/>
        <w:jc w:val="left"/>
        <w:rPr>
          <w:rFonts w:eastAsia="仿宋_GB2312"/>
          <w:sz w:val="32"/>
          <w:szCs w:val="32"/>
        </w:rPr>
      </w:pPr>
      <w:r>
        <w:rPr>
          <w:rFonts w:hint="eastAsia" w:ascii="仿宋_GB2312" w:eastAsia="仿宋_GB2312"/>
          <w:kern w:val="0"/>
          <w:sz w:val="32"/>
          <w:szCs w:val="32"/>
        </w:rPr>
        <w:t>为保持城乡社区环境卫生良好，打造生态宜居托里，托里县继续保持对城乡社区环境卫生基础工作的投入。</w:t>
      </w:r>
      <w:r>
        <w:rPr>
          <w:rFonts w:hint="eastAsia" w:ascii="仿宋_GB2312" w:eastAsia="仿宋_GB2312"/>
          <w:b/>
          <w:kern w:val="0"/>
          <w:sz w:val="32"/>
          <w:szCs w:val="32"/>
        </w:rPr>
        <w:t>一是</w:t>
      </w:r>
      <w:r>
        <w:rPr>
          <w:rFonts w:hint="eastAsia" w:ascii="仿宋_GB2312" w:eastAsia="仿宋_GB2312"/>
          <w:kern w:val="0"/>
          <w:sz w:val="32"/>
          <w:szCs w:val="32"/>
        </w:rPr>
        <w:t>继续开展</w:t>
      </w:r>
      <w:r>
        <w:rPr>
          <w:rFonts w:ascii="仿宋_GB2312" w:eastAsia="仿宋_GB2312"/>
          <w:kern w:val="0"/>
          <w:sz w:val="32"/>
          <w:szCs w:val="32"/>
        </w:rPr>
        <w:t>“</w:t>
      </w:r>
      <w:r>
        <w:rPr>
          <w:rFonts w:hint="eastAsia" w:ascii="仿宋_GB2312" w:eastAsia="仿宋_GB2312"/>
          <w:kern w:val="0"/>
          <w:sz w:val="32"/>
          <w:szCs w:val="32"/>
        </w:rPr>
        <w:t>美丽乡村</w:t>
      </w:r>
      <w:r>
        <w:rPr>
          <w:rFonts w:ascii="仿宋_GB2312" w:eastAsia="仿宋_GB2312"/>
          <w:kern w:val="0"/>
          <w:sz w:val="32"/>
          <w:szCs w:val="32"/>
        </w:rPr>
        <w:t>”</w:t>
      </w:r>
      <w:r>
        <w:rPr>
          <w:rFonts w:hint="eastAsia" w:ascii="仿宋_GB2312" w:eastAsia="仿宋_GB2312"/>
          <w:kern w:val="0"/>
          <w:sz w:val="32"/>
          <w:szCs w:val="32"/>
        </w:rPr>
        <w:t>建设工作，完成投资</w:t>
      </w:r>
      <w:r>
        <w:rPr>
          <w:rFonts w:ascii="仿宋_GB2312" w:eastAsia="仿宋_GB2312"/>
          <w:kern w:val="0"/>
          <w:sz w:val="32"/>
          <w:szCs w:val="32"/>
        </w:rPr>
        <w:t>2500</w:t>
      </w:r>
      <w:r>
        <w:rPr>
          <w:rFonts w:hint="eastAsia" w:ascii="仿宋_GB2312" w:eastAsia="仿宋_GB2312"/>
          <w:kern w:val="0"/>
          <w:sz w:val="32"/>
          <w:szCs w:val="32"/>
        </w:rPr>
        <w:t>万元，对阿合别斗等</w:t>
      </w:r>
      <w:r>
        <w:rPr>
          <w:rFonts w:ascii="仿宋_GB2312" w:eastAsia="仿宋_GB2312"/>
          <w:kern w:val="0"/>
          <w:sz w:val="32"/>
          <w:szCs w:val="32"/>
        </w:rPr>
        <w:t>6</w:t>
      </w:r>
      <w:r>
        <w:rPr>
          <w:rFonts w:hint="eastAsia" w:ascii="仿宋_GB2312" w:eastAsia="仿宋_GB2312"/>
          <w:kern w:val="0"/>
          <w:sz w:val="32"/>
          <w:szCs w:val="32"/>
        </w:rPr>
        <w:t>个乡（镇）进行危房改造，外立面粉刷、屋顶、围墙改造，绿化、亮化提升，公共厕所及环卫设施建设等；</w:t>
      </w:r>
      <w:r>
        <w:rPr>
          <w:rFonts w:hint="eastAsia" w:ascii="仿宋_GB2312" w:eastAsia="仿宋_GB2312"/>
          <w:b/>
          <w:kern w:val="0"/>
          <w:sz w:val="32"/>
          <w:szCs w:val="32"/>
        </w:rPr>
        <w:t>二是</w:t>
      </w:r>
      <w:r>
        <w:rPr>
          <w:rFonts w:hint="eastAsia" w:ascii="仿宋_GB2312" w:eastAsia="仿宋_GB2312"/>
          <w:kern w:val="0"/>
          <w:sz w:val="32"/>
          <w:szCs w:val="32"/>
        </w:rPr>
        <w:t>投资</w:t>
      </w:r>
      <w:r>
        <w:rPr>
          <w:rFonts w:ascii="仿宋_GB2312" w:eastAsia="仿宋_GB2312"/>
          <w:kern w:val="0"/>
          <w:sz w:val="32"/>
          <w:szCs w:val="32"/>
        </w:rPr>
        <w:t>173</w:t>
      </w:r>
      <w:r>
        <w:rPr>
          <w:rFonts w:hint="eastAsia" w:ascii="仿宋_GB2312" w:eastAsia="仿宋_GB2312"/>
          <w:kern w:val="0"/>
          <w:sz w:val="32"/>
          <w:szCs w:val="32"/>
        </w:rPr>
        <w:t>万元，新增环卫功能车</w:t>
      </w:r>
      <w:r>
        <w:rPr>
          <w:rFonts w:ascii="仿宋_GB2312" w:eastAsia="仿宋_GB2312"/>
          <w:kern w:val="0"/>
          <w:sz w:val="32"/>
          <w:szCs w:val="32"/>
        </w:rPr>
        <w:t>4</w:t>
      </w:r>
      <w:r>
        <w:rPr>
          <w:rFonts w:hint="eastAsia" w:ascii="仿宋_GB2312" w:eastAsia="仿宋_GB2312"/>
          <w:kern w:val="0"/>
          <w:sz w:val="32"/>
          <w:szCs w:val="32"/>
        </w:rPr>
        <w:t>辆，垃圾箱</w:t>
      </w:r>
      <w:r>
        <w:rPr>
          <w:rFonts w:ascii="仿宋_GB2312" w:eastAsia="仿宋_GB2312"/>
          <w:kern w:val="0"/>
          <w:sz w:val="32"/>
          <w:szCs w:val="32"/>
        </w:rPr>
        <w:t>100</w:t>
      </w:r>
      <w:r>
        <w:rPr>
          <w:rFonts w:hint="eastAsia" w:ascii="仿宋_GB2312" w:eastAsia="仿宋_GB2312"/>
          <w:kern w:val="0"/>
          <w:sz w:val="32"/>
          <w:szCs w:val="32"/>
        </w:rPr>
        <w:t>个；</w:t>
      </w:r>
      <w:r>
        <w:rPr>
          <w:rFonts w:hint="eastAsia" w:ascii="仿宋_GB2312" w:eastAsia="仿宋_GB2312"/>
          <w:b/>
          <w:kern w:val="0"/>
          <w:sz w:val="32"/>
          <w:szCs w:val="32"/>
        </w:rPr>
        <w:t>三是</w:t>
      </w:r>
      <w:r>
        <w:rPr>
          <w:rFonts w:hint="eastAsia" w:ascii="仿宋_GB2312" w:eastAsia="仿宋_GB2312"/>
          <w:kern w:val="0"/>
          <w:sz w:val="32"/>
          <w:szCs w:val="32"/>
        </w:rPr>
        <w:t>南疆劳动力转移环卫处</w:t>
      </w:r>
      <w:r>
        <w:rPr>
          <w:rFonts w:ascii="仿宋_GB2312" w:eastAsia="仿宋_GB2312"/>
          <w:kern w:val="0"/>
          <w:sz w:val="32"/>
          <w:szCs w:val="32"/>
        </w:rPr>
        <w:t>70</w:t>
      </w:r>
      <w:r>
        <w:rPr>
          <w:rFonts w:hint="eastAsia" w:ascii="仿宋_GB2312" w:eastAsia="仿宋_GB2312"/>
          <w:kern w:val="0"/>
          <w:sz w:val="32"/>
          <w:szCs w:val="32"/>
        </w:rPr>
        <w:t>人，为给劳动力转移人员提供一个良好</w:t>
      </w:r>
      <w:r>
        <w:rPr>
          <w:rFonts w:hint="eastAsia" w:eastAsia="仿宋_GB2312"/>
          <w:sz w:val="32"/>
          <w:szCs w:val="32"/>
        </w:rPr>
        <w:t>的工作生活环境，投资</w:t>
      </w:r>
      <w:r>
        <w:rPr>
          <w:rFonts w:eastAsia="仿宋_GB2312"/>
          <w:sz w:val="32"/>
          <w:szCs w:val="32"/>
        </w:rPr>
        <w:t>600</w:t>
      </w:r>
      <w:r>
        <w:rPr>
          <w:rFonts w:hint="eastAsia" w:eastAsia="仿宋_GB2312"/>
          <w:sz w:val="32"/>
          <w:szCs w:val="32"/>
        </w:rPr>
        <w:t>万元，新建</w:t>
      </w:r>
      <w:r>
        <w:rPr>
          <w:rFonts w:eastAsia="仿宋_GB2312"/>
          <w:sz w:val="32"/>
          <w:szCs w:val="32"/>
        </w:rPr>
        <w:t>1.3</w:t>
      </w:r>
      <w:r>
        <w:rPr>
          <w:rFonts w:hint="eastAsia" w:eastAsia="仿宋_GB2312"/>
          <w:sz w:val="32"/>
          <w:szCs w:val="32"/>
        </w:rPr>
        <w:t>万㎡生活厂区（含宿舍、食堂、篮球场、学习室等）；投资</w:t>
      </w:r>
      <w:r>
        <w:rPr>
          <w:rFonts w:eastAsia="仿宋_GB2312"/>
          <w:sz w:val="32"/>
          <w:szCs w:val="32"/>
        </w:rPr>
        <w:t>30</w:t>
      </w:r>
      <w:r>
        <w:rPr>
          <w:rFonts w:hint="eastAsia" w:eastAsia="仿宋_GB2312"/>
          <w:sz w:val="32"/>
          <w:szCs w:val="32"/>
        </w:rPr>
        <w:t>万元，配备管理用车</w:t>
      </w:r>
      <w:r>
        <w:rPr>
          <w:rFonts w:eastAsia="仿宋_GB2312"/>
          <w:sz w:val="32"/>
          <w:szCs w:val="32"/>
        </w:rPr>
        <w:t>4</w:t>
      </w:r>
      <w:r>
        <w:rPr>
          <w:rFonts w:hint="eastAsia" w:eastAsia="仿宋_GB2312"/>
          <w:sz w:val="32"/>
          <w:szCs w:val="32"/>
        </w:rPr>
        <w:t>辆，投资</w:t>
      </w:r>
      <w:r>
        <w:rPr>
          <w:rFonts w:eastAsia="仿宋_GB2312"/>
          <w:sz w:val="32"/>
          <w:szCs w:val="32"/>
        </w:rPr>
        <w:t>8</w:t>
      </w:r>
      <w:r>
        <w:rPr>
          <w:rFonts w:hint="eastAsia" w:eastAsia="仿宋_GB2312"/>
          <w:sz w:val="32"/>
          <w:szCs w:val="32"/>
        </w:rPr>
        <w:t>万元，购置</w:t>
      </w:r>
      <w:r>
        <w:rPr>
          <w:rFonts w:eastAsia="仿宋_GB2312"/>
          <w:sz w:val="32"/>
          <w:szCs w:val="32"/>
        </w:rPr>
        <w:t>20</w:t>
      </w:r>
      <w:r>
        <w:rPr>
          <w:rFonts w:hint="eastAsia" w:eastAsia="仿宋_GB2312"/>
          <w:sz w:val="32"/>
          <w:szCs w:val="32"/>
        </w:rPr>
        <w:t>辆电动三轮车方便出行，并给予每人每月</w:t>
      </w:r>
      <w:r>
        <w:rPr>
          <w:rFonts w:eastAsia="仿宋_GB2312"/>
          <w:sz w:val="32"/>
          <w:szCs w:val="32"/>
        </w:rPr>
        <w:t>450</w:t>
      </w:r>
      <w:r>
        <w:rPr>
          <w:rFonts w:hint="eastAsia" w:eastAsia="仿宋_GB2312"/>
          <w:sz w:val="32"/>
          <w:szCs w:val="32"/>
        </w:rPr>
        <w:t>元伙食补助，缴纳意外保险金。</w:t>
      </w:r>
      <w:r>
        <w:rPr>
          <w:rFonts w:hint="eastAsia" w:eastAsia="仿宋_GB2312"/>
          <w:b/>
          <w:bCs/>
          <w:sz w:val="32"/>
          <w:szCs w:val="32"/>
        </w:rPr>
        <w:t>四是</w:t>
      </w:r>
      <w:r>
        <w:rPr>
          <w:rFonts w:hint="eastAsia" w:eastAsia="仿宋_GB2312"/>
          <w:sz w:val="32"/>
          <w:szCs w:val="32"/>
        </w:rPr>
        <w:t>加大公共绿地管理及养护，投资</w:t>
      </w:r>
      <w:r>
        <w:rPr>
          <w:rFonts w:eastAsia="仿宋_GB2312"/>
          <w:sz w:val="32"/>
          <w:szCs w:val="32"/>
        </w:rPr>
        <w:t>25</w:t>
      </w:r>
      <w:r>
        <w:rPr>
          <w:rFonts w:hint="eastAsia" w:eastAsia="仿宋_GB2312"/>
          <w:sz w:val="32"/>
          <w:szCs w:val="32"/>
        </w:rPr>
        <w:t>万元，培育花苗</w:t>
      </w:r>
      <w:r>
        <w:rPr>
          <w:rFonts w:eastAsia="仿宋_GB2312"/>
          <w:sz w:val="32"/>
          <w:szCs w:val="32"/>
        </w:rPr>
        <w:t>100</w:t>
      </w:r>
      <w:r>
        <w:rPr>
          <w:rFonts w:hint="eastAsia" w:eastAsia="仿宋_GB2312"/>
          <w:sz w:val="32"/>
          <w:szCs w:val="32"/>
        </w:rPr>
        <w:t>万株；投资</w:t>
      </w:r>
      <w:r>
        <w:rPr>
          <w:rFonts w:eastAsia="仿宋_GB2312"/>
          <w:sz w:val="32"/>
          <w:szCs w:val="32"/>
        </w:rPr>
        <w:t>198</w:t>
      </w:r>
      <w:r>
        <w:rPr>
          <w:rFonts w:hint="eastAsia" w:eastAsia="仿宋_GB2312"/>
          <w:sz w:val="32"/>
          <w:szCs w:val="32"/>
        </w:rPr>
        <w:t>万元，安装节水滴灌</w:t>
      </w:r>
      <w:r>
        <w:rPr>
          <w:rFonts w:eastAsia="仿宋_GB2312"/>
          <w:sz w:val="32"/>
          <w:szCs w:val="32"/>
        </w:rPr>
        <w:t>6.2</w:t>
      </w:r>
      <w:r>
        <w:rPr>
          <w:rFonts w:hint="eastAsia" w:eastAsia="仿宋_GB2312"/>
          <w:sz w:val="32"/>
          <w:szCs w:val="32"/>
        </w:rPr>
        <w:t>公里；投资</w:t>
      </w:r>
      <w:r>
        <w:rPr>
          <w:rFonts w:eastAsia="仿宋_GB2312"/>
          <w:sz w:val="32"/>
          <w:szCs w:val="32"/>
        </w:rPr>
        <w:t>31.8</w:t>
      </w:r>
      <w:r>
        <w:rPr>
          <w:rFonts w:hint="eastAsia" w:eastAsia="仿宋_GB2312"/>
          <w:sz w:val="32"/>
          <w:szCs w:val="32"/>
        </w:rPr>
        <w:t>万元，完成土方废方拉运、回填粘土、土地平整等工作，全年园林绿化面积</w:t>
      </w:r>
      <w:r>
        <w:rPr>
          <w:rFonts w:eastAsia="仿宋_GB2312"/>
          <w:sz w:val="32"/>
          <w:szCs w:val="32"/>
        </w:rPr>
        <w:t>192</w:t>
      </w:r>
      <w:r>
        <w:rPr>
          <w:rFonts w:hint="eastAsia" w:eastAsia="仿宋_GB2312"/>
          <w:sz w:val="32"/>
          <w:szCs w:val="32"/>
        </w:rPr>
        <w:t>亩。</w:t>
      </w:r>
    </w:p>
    <w:p>
      <w:pPr>
        <w:spacing w:line="560" w:lineRule="exact"/>
        <w:ind w:firstLine="643" w:firstLineChars="200"/>
        <w:rPr>
          <w:rFonts w:ascii="黑体" w:eastAsia="黑体"/>
          <w:b/>
          <w:kern w:val="0"/>
          <w:sz w:val="32"/>
          <w:szCs w:val="32"/>
        </w:rPr>
      </w:pPr>
      <w:r>
        <w:rPr>
          <w:rFonts w:hint="eastAsia" w:ascii="黑体" w:eastAsia="黑体"/>
          <w:b/>
          <w:kern w:val="0"/>
          <w:sz w:val="32"/>
          <w:szCs w:val="32"/>
        </w:rPr>
        <w:t>七、2017年财政收支运行特点</w:t>
      </w:r>
    </w:p>
    <w:p>
      <w:pPr>
        <w:spacing w:line="560" w:lineRule="exact"/>
        <w:ind w:firstLine="640" w:firstLineChars="200"/>
        <w:rPr>
          <w:rFonts w:ascii="仿宋_GB2312" w:hAnsi="仿宋_GB2312" w:eastAsia="仿宋_GB2312" w:cs="仿宋_GB2312"/>
          <w:kern w:val="0"/>
          <w:sz w:val="32"/>
          <w:szCs w:val="32"/>
        </w:rPr>
      </w:pPr>
      <w:r>
        <w:rPr>
          <w:rFonts w:hint="eastAsia" w:ascii="仿宋_GB2312" w:eastAsia="仿宋_GB2312"/>
          <w:kern w:val="0"/>
          <w:sz w:val="32"/>
          <w:szCs w:val="32"/>
        </w:rPr>
        <w:t>2017年，我县财政工作坚持以科学发展观为统领，认真贯彻地区、县委、县政府财政工作会议精神，</w:t>
      </w:r>
      <w:r>
        <w:rPr>
          <w:rFonts w:hint="eastAsia" w:ascii="仿宋_GB2312" w:hAnsi="仿宋_GB2312" w:eastAsia="仿宋_GB2312" w:cs="仿宋_GB2312"/>
          <w:kern w:val="0"/>
          <w:sz w:val="32"/>
          <w:szCs w:val="32"/>
        </w:rPr>
        <w:t>实现财政收入平稳增长，支出结构不断优化，民生投入力度不断加大，支持经济发展成效显著。</w:t>
      </w:r>
    </w:p>
    <w:p>
      <w:pPr>
        <w:pStyle w:val="21"/>
        <w:numPr>
          <w:ilvl w:val="0"/>
          <w:numId w:val="3"/>
        </w:numPr>
        <w:spacing w:line="560" w:lineRule="exact"/>
        <w:ind w:firstLineChars="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财政收入运行特点</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一是</w:t>
      </w:r>
      <w:r>
        <w:rPr>
          <w:rFonts w:hint="eastAsia" w:ascii="仿宋_GB2312" w:eastAsia="仿宋_GB2312"/>
          <w:kern w:val="0"/>
          <w:sz w:val="32"/>
          <w:szCs w:val="32"/>
        </w:rPr>
        <w:t>经济基础薄弱，收入增长乏力。我县经济总量偏小，财政收入规模偏小，可用财力偏低，经济发展中的结构性矛盾比较突出，缺乏支撑转型发展的特色产业和新增长点，财政收入保持连续增幅难度大。</w:t>
      </w:r>
    </w:p>
    <w:p>
      <w:pPr>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二是</w:t>
      </w:r>
      <w:r>
        <w:rPr>
          <w:rFonts w:hint="eastAsia" w:ascii="仿宋_GB2312" w:eastAsia="仿宋_GB2312"/>
          <w:kern w:val="0"/>
          <w:sz w:val="32"/>
          <w:szCs w:val="32"/>
        </w:rPr>
        <w:t>缺乏支柱财源，税收收入增长缓慢。我县财政收入缺乏支柱财源。今年，我县矿产企业受经济下行影响，部分企业效益下滑甚至关闭，对财政收入贡献减少，致使税收收入增幅缓慢。</w:t>
      </w:r>
    </w:p>
    <w:p>
      <w:pPr>
        <w:pBdr>
          <w:bottom w:val="single" w:color="FFFFFF" w:sz="4" w:space="31"/>
        </w:pBdr>
        <w:tabs>
          <w:tab w:val="left" w:pos="1440"/>
        </w:tabs>
        <w:spacing w:line="560" w:lineRule="exact"/>
        <w:ind w:firstLine="643"/>
        <w:rPr>
          <w:rFonts w:ascii="仿宋_GB2312" w:eastAsia="仿宋_GB2312"/>
          <w:b/>
          <w:kern w:val="0"/>
          <w:sz w:val="32"/>
          <w:szCs w:val="32"/>
        </w:rPr>
      </w:pPr>
      <w:r>
        <w:rPr>
          <w:rFonts w:hint="eastAsia" w:ascii="仿宋_GB2312" w:eastAsia="仿宋_GB2312"/>
          <w:b/>
          <w:kern w:val="0"/>
          <w:sz w:val="32"/>
          <w:szCs w:val="32"/>
        </w:rPr>
        <w:t>（二）财政支出运行特点</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一是</w:t>
      </w:r>
      <w:r>
        <w:rPr>
          <w:rFonts w:hint="eastAsia" w:ascii="仿宋_GB2312" w:eastAsia="仿宋_GB2312"/>
          <w:kern w:val="0"/>
          <w:sz w:val="32"/>
          <w:szCs w:val="32"/>
        </w:rPr>
        <w:t>县级配套资金压力巨大。由于我县财力有限，县级财力仅能保障人员支出和必要的政策性配套，县级配套资金压力巨大。</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二是</w:t>
      </w:r>
      <w:r>
        <w:rPr>
          <w:rFonts w:hint="eastAsia" w:ascii="仿宋_GB2312" w:eastAsia="仿宋_GB2312"/>
          <w:kern w:val="0"/>
          <w:sz w:val="32"/>
          <w:szCs w:val="32"/>
        </w:rPr>
        <w:t>政府运行成本冗重难降。主要表现在财政供养人员难以压减，人员经费支出难以降低。政府追加事项难以遏制，政府预算约束力度较弱，超预算支出现象难以杜绝。</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三是</w:t>
      </w:r>
      <w:r>
        <w:rPr>
          <w:rFonts w:hint="eastAsia" w:ascii="仿宋_GB2312" w:eastAsia="仿宋_GB2312"/>
          <w:kern w:val="0"/>
          <w:sz w:val="32"/>
          <w:szCs w:val="32"/>
        </w:rPr>
        <w:t>民生增支政策压力凸显。县财政支出最大的压力来自于民生的提标扩面。近年来，在国家、自治区、地区出台的一系列民生政策中，除上级不同程度的转移支付补助外，县财政担负了大部分增支资金，成为县财政刚性支出快速增长、财政收支矛盾日益尖锐的主要因素，县政府在民生政策执行中的被动性已严重影响了财政调控职能的发挥。</w:t>
      </w:r>
    </w:p>
    <w:p>
      <w:pPr>
        <w:pBdr>
          <w:bottom w:val="single" w:color="FFFFFF" w:sz="4" w:space="31"/>
        </w:pBdr>
        <w:tabs>
          <w:tab w:val="left" w:pos="1440"/>
        </w:tabs>
        <w:spacing w:line="560" w:lineRule="exact"/>
        <w:ind w:firstLine="643" w:firstLineChars="200"/>
        <w:rPr>
          <w:rFonts w:ascii="仿宋_GB2312" w:eastAsia="仿宋_GB2312"/>
          <w:b/>
          <w:bCs/>
          <w:kern w:val="0"/>
          <w:sz w:val="32"/>
          <w:szCs w:val="32"/>
        </w:rPr>
      </w:pPr>
      <w:r>
        <w:rPr>
          <w:rFonts w:hint="eastAsia" w:ascii="仿宋_GB2312" w:eastAsia="仿宋_GB2312"/>
          <w:b/>
          <w:bCs/>
          <w:kern w:val="0"/>
          <w:sz w:val="32"/>
          <w:szCs w:val="32"/>
        </w:rPr>
        <w:t>（二）财政收支矛盾成因分析</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一是</w:t>
      </w:r>
      <w:r>
        <w:rPr>
          <w:rFonts w:hint="eastAsia" w:ascii="仿宋_GB2312" w:eastAsia="仿宋_GB2312"/>
          <w:kern w:val="0"/>
          <w:sz w:val="32"/>
          <w:szCs w:val="32"/>
        </w:rPr>
        <w:t>经济发展活力受限。随着经济体制改革的推进，私有制中小企业是县经济的主体，受多方面因素的影响，中小企业在做大做强方面受到很大的制约，缺乏活力，整体经济发展受到制约。</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二是</w:t>
      </w:r>
      <w:r>
        <w:rPr>
          <w:rFonts w:hint="eastAsia" w:ascii="仿宋_GB2312" w:eastAsia="仿宋_GB2312"/>
          <w:kern w:val="0"/>
          <w:sz w:val="32"/>
          <w:szCs w:val="32"/>
        </w:rPr>
        <w:t>财政增支多，收支矛盾突出。财政基础薄弱问题在短期内无法解决，在保工资、保运转的基础上，随着公共财政覆盖面的扩大，各项民生政策陆续出台，民生支出增支较多。科技、脱贫、教育、农业、社会保障和就业、医疗卫生等方面刚性投入增加，财政要保证的重点支出项目越来越多，公共服务支出需求也大幅增长，财政支出压力有增无减。</w:t>
      </w:r>
    </w:p>
    <w:p>
      <w:pPr>
        <w:pBdr>
          <w:bottom w:val="single" w:color="FFFFFF" w:sz="4" w:space="31"/>
        </w:pBdr>
        <w:tabs>
          <w:tab w:val="left" w:pos="1440"/>
        </w:tabs>
        <w:spacing w:line="560" w:lineRule="exact"/>
        <w:ind w:firstLine="643" w:firstLineChars="200"/>
        <w:rPr>
          <w:rFonts w:ascii="仿宋_GB2312" w:eastAsia="仿宋_GB2312"/>
          <w:b/>
          <w:bCs/>
          <w:kern w:val="0"/>
          <w:sz w:val="32"/>
          <w:szCs w:val="32"/>
        </w:rPr>
      </w:pPr>
      <w:r>
        <w:rPr>
          <w:rFonts w:hint="eastAsia" w:ascii="仿宋_GB2312" w:eastAsia="仿宋_GB2312"/>
          <w:b/>
          <w:bCs/>
          <w:kern w:val="0"/>
          <w:sz w:val="32"/>
          <w:szCs w:val="32"/>
        </w:rPr>
        <w:t>（三）缓解县财政收支矛盾的建议</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1、</w:t>
      </w:r>
      <w:r>
        <w:rPr>
          <w:rFonts w:hint="eastAsia" w:ascii="仿宋_GB2312" w:eastAsia="仿宋_GB2312"/>
          <w:kern w:val="0"/>
          <w:sz w:val="32"/>
          <w:szCs w:val="32"/>
        </w:rPr>
        <w:t>发展县域经济，夯实财政基础。发展县域经济是从根本上解决县财政困难的保证。调整和优化产业结构，大力发展特色农业，提高第一产业对财政的贡献率。坚持把招商引资作为经济发展的“牛鼻子”，依托开展招商引资活动所掌握的信息及客商资源情况，对有可能引进的项目进行逐一对接，争取引进大项目，增强经济发展后劲。</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2、</w:t>
      </w:r>
      <w:r>
        <w:rPr>
          <w:rFonts w:hint="eastAsia" w:ascii="仿宋_GB2312" w:eastAsia="仿宋_GB2312"/>
          <w:kern w:val="0"/>
          <w:sz w:val="32"/>
          <w:szCs w:val="32"/>
        </w:rPr>
        <w:t>加大收入征管力度，确保应收尽收。加强税源分析、预测、监控工作，建立健全税收征管制度，不断提高税收征管水平。坚持“抓大不放小”的治税思想，通过税收政策的适度调节和征管办法的有效实施，逐步提高地方税收的比重。</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3、</w:t>
      </w:r>
      <w:r>
        <w:rPr>
          <w:rFonts w:hint="eastAsia" w:ascii="仿宋_GB2312" w:eastAsia="仿宋_GB2312"/>
          <w:kern w:val="0"/>
          <w:sz w:val="32"/>
          <w:szCs w:val="32"/>
        </w:rPr>
        <w:t>转变政府职能，精简机构和人员。政府运行成本主要体现在人员工资支出和办公经费支出，建立健全人事、编制和财政相互制衡的机制，严把增人关，用预算管编制，用经费管人头，确保机构不虚设，人员不冗余，合理设置机构和配备人员。</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kern w:val="0"/>
          <w:sz w:val="32"/>
          <w:szCs w:val="32"/>
        </w:rPr>
        <w:t>4、</w:t>
      </w:r>
      <w:r>
        <w:rPr>
          <w:rFonts w:hint="eastAsia" w:ascii="仿宋_GB2312" w:eastAsia="仿宋_GB2312"/>
          <w:kern w:val="0"/>
          <w:sz w:val="32"/>
          <w:szCs w:val="32"/>
        </w:rPr>
        <w:t>强化支出管理，压缩“三公”经费。切实强化预算约束，加大支出结构调整力度，进一步推进部门预算、国库集中支付，强化支出管理，提高资金使用效益，确保重点领域支出，压缩“三公”经费。</w:t>
      </w:r>
    </w:p>
    <w:p>
      <w:pPr>
        <w:pBdr>
          <w:bottom w:val="single" w:color="FFFFFF" w:sz="4" w:space="31"/>
        </w:pBdr>
        <w:tabs>
          <w:tab w:val="left" w:pos="1440"/>
        </w:tabs>
        <w:spacing w:line="560" w:lineRule="exact"/>
        <w:ind w:firstLine="643" w:firstLineChars="200"/>
        <w:rPr>
          <w:rFonts w:ascii="黑体" w:hAnsi="宋体" w:eastAsia="黑体" w:cs="宋体"/>
          <w:b/>
          <w:kern w:val="0"/>
          <w:sz w:val="32"/>
          <w:szCs w:val="32"/>
        </w:rPr>
      </w:pPr>
      <w:r>
        <w:rPr>
          <w:rFonts w:hint="eastAsia" w:ascii="黑体" w:hAnsi="宋体" w:eastAsia="黑体" w:cs="宋体"/>
          <w:b/>
          <w:kern w:val="0"/>
          <w:sz w:val="32"/>
          <w:szCs w:val="32"/>
        </w:rPr>
        <w:t>八、深化财政各项改革，强化财政监督管理</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bCs/>
          <w:kern w:val="0"/>
          <w:sz w:val="32"/>
          <w:szCs w:val="32"/>
        </w:rPr>
        <w:t>（一）积极推进“PPP”模式工作。</w:t>
      </w:r>
      <w:r>
        <w:rPr>
          <w:rFonts w:hint="eastAsia" w:ascii="仿宋_GB2312" w:eastAsia="仿宋_GB2312"/>
          <w:kern w:val="0"/>
          <w:sz w:val="32"/>
          <w:szCs w:val="32"/>
        </w:rPr>
        <w:t>为加强政府公共服务、市场监管、社会管理和环境保护等公共社会事业建设，加快转变政府职能，完善城镇化健康发展体制机制，推进城市建设管理创新，适应现代财政管理要求，托里县已与PPP投资咨询公司（新疆国融大通财务顾问有限公司）进行了前期意向对接,并已签订了托里县铁厂沟镇准噶尔社区给排水工程建设项目《托里县政府和社会资本合作ppp示范项目咨询服务合同》，目前该项目实施方案已完成，县人民政府已审批，现项目准备进行政府采购。</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bCs/>
          <w:kern w:val="0"/>
          <w:sz w:val="32"/>
          <w:szCs w:val="32"/>
        </w:rPr>
        <w:t>（二）深化绩效预算管理改革。</w:t>
      </w:r>
      <w:r>
        <w:rPr>
          <w:rFonts w:hint="eastAsia" w:ascii="仿宋_GB2312" w:eastAsia="仿宋_GB2312"/>
          <w:kern w:val="0"/>
          <w:sz w:val="32"/>
          <w:szCs w:val="32"/>
        </w:rPr>
        <w:t>扎实开展预算绩效评价，进一步完善评价体系。在强化事前控制，提前细化预算编制，推进实现绩效目标全覆盖。抓好事中执行，强化支出执行结果通报考核，深化专项资金绩效分配改革，严格实施中期评估，加快预算执行，动态优化支出结构。严格事后审查，加大结余结转清核力度，加强财政决算审查，完善财政支出绩效评价体系，优化评价方式。扩大绩效目标覆盖范围，明确绩效评价工作责任，重点开展涉及民生等重点领域支出绩效评价，逐步建立贯穿预算编制、执行、监督、评价全过程的预算绩效管理机制，注重评价结果应用，不断提高资金使用效益。</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bCs/>
          <w:kern w:val="0"/>
          <w:sz w:val="32"/>
          <w:szCs w:val="32"/>
        </w:rPr>
        <w:t>（三）充分发挥涉资源类经济信息共享机制作用。</w:t>
      </w:r>
      <w:r>
        <w:rPr>
          <w:rFonts w:hint="eastAsia" w:ascii="仿宋_GB2312" w:eastAsia="仿宋_GB2312"/>
          <w:kern w:val="0"/>
          <w:sz w:val="32"/>
          <w:szCs w:val="32"/>
        </w:rPr>
        <w:t>规范矿业开发、矿权交易、股权流转税收管理，强化采矿、建筑、房地产、金融行业等重点税源税费监管。规范各类工程建设和矿产资源勘探、测绘、设计等服务行业的税费征管，清理历年欠缴税费，强化税务发票管理，从源头控税，做到“依法征税、应收尽收”。</w:t>
      </w:r>
    </w:p>
    <w:p>
      <w:pPr>
        <w:pBdr>
          <w:bottom w:val="single" w:color="FFFFFF" w:sz="4" w:space="31"/>
        </w:pBdr>
        <w:tabs>
          <w:tab w:val="left" w:pos="1440"/>
        </w:tabs>
        <w:spacing w:line="560" w:lineRule="exact"/>
        <w:ind w:firstLine="643" w:firstLineChars="200"/>
        <w:rPr>
          <w:rFonts w:ascii="仿宋_GB2312" w:hAnsi="宋体" w:eastAsia="仿宋_GB2312"/>
          <w:kern w:val="0"/>
          <w:sz w:val="32"/>
          <w:szCs w:val="32"/>
        </w:rPr>
      </w:pPr>
      <w:r>
        <w:rPr>
          <w:rFonts w:hint="eastAsia" w:ascii="仿宋_GB2312" w:eastAsia="仿宋_GB2312"/>
          <w:b/>
          <w:bCs/>
          <w:kern w:val="0"/>
          <w:sz w:val="32"/>
          <w:szCs w:val="32"/>
        </w:rPr>
        <w:t>（四）扎实推进政府购买服务。</w:t>
      </w:r>
      <w:r>
        <w:rPr>
          <w:rFonts w:hint="eastAsia" w:ascii="仿宋_GB2312" w:hAnsi="宋体" w:eastAsia="仿宋_GB2312"/>
          <w:kern w:val="0"/>
          <w:sz w:val="32"/>
          <w:szCs w:val="32"/>
        </w:rPr>
        <w:t>围绕政府职能转变的要求，科学界定政府购买公共服务范围，分类管理政府购买公共服务项目，引入公开竞争机制，规范政府购买公共服务行为，提升公共服务质量与效率，提高财政支出绩效。根据2015年的试点经验、《政府购买服务管理办法》、133号文件的目录及部门预算与相关部门沟通，拟对托里县2017年可购买服务项目进行梳理，拟出购买计划，制定《政府购买服务实施方案》，稳步推行此项工作。</w:t>
      </w:r>
    </w:p>
    <w:p>
      <w:pPr>
        <w:pBdr>
          <w:bottom w:val="single" w:color="FFFFFF" w:sz="4" w:space="31"/>
        </w:pBdr>
        <w:tabs>
          <w:tab w:val="left" w:pos="1440"/>
        </w:tabs>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2017年启动事业单位政府购买服务改革试点，托里县选取</w:t>
      </w:r>
      <w:r>
        <w:rPr>
          <w:rFonts w:hint="eastAsia" w:ascii="仿宋_GB2312" w:hAnsi="仿宋_GB2312" w:eastAsia="仿宋_GB2312" w:cs="仿宋_GB2312"/>
          <w:color w:val="000000"/>
          <w:kern w:val="0"/>
          <w:sz w:val="32"/>
          <w:szCs w:val="32"/>
        </w:rPr>
        <w:t>托里县人民医院和歌舞团2个公益二类事业单位进行试点。</w:t>
      </w:r>
      <w:r>
        <w:rPr>
          <w:rFonts w:hint="eastAsia" w:ascii="仿宋_GB2312" w:hAnsi="仿宋_GB2312" w:eastAsia="仿宋_GB2312" w:cs="仿宋_GB2312"/>
          <w:kern w:val="0"/>
          <w:sz w:val="32"/>
          <w:szCs w:val="32"/>
        </w:rPr>
        <w:t>到2020年底，建立健全政府向事业单位购买服务政策体系，全面推开事业单位政府购买服务工作，事业单位提供公共服务的能力和水平明显提升。</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bCs/>
          <w:kern w:val="0"/>
          <w:sz w:val="32"/>
          <w:szCs w:val="32"/>
        </w:rPr>
        <w:t>（五）加强大平台建设工作。</w:t>
      </w:r>
      <w:r>
        <w:rPr>
          <w:rFonts w:hint="eastAsia" w:ascii="仿宋_GB2312" w:eastAsia="仿宋_GB2312"/>
          <w:kern w:val="0"/>
          <w:sz w:val="32"/>
          <w:szCs w:val="32"/>
        </w:rPr>
        <w:t>规范国库集中支付操作流程，完善国库集中支付系统平台建设，进一步简化程序，拓宽范围，不断提高财政资金直接支付的比例。</w:t>
      </w:r>
    </w:p>
    <w:p>
      <w:pPr>
        <w:pBdr>
          <w:bottom w:val="single" w:color="FFFFFF" w:sz="4" w:space="31"/>
        </w:pBdr>
        <w:tabs>
          <w:tab w:val="left" w:pos="1440"/>
        </w:tabs>
        <w:spacing w:line="560" w:lineRule="exact"/>
        <w:ind w:firstLine="643" w:firstLineChars="200"/>
        <w:rPr>
          <w:rFonts w:ascii="仿宋_GB2312" w:eastAsia="仿宋_GB2312"/>
          <w:kern w:val="0"/>
          <w:sz w:val="32"/>
          <w:szCs w:val="32"/>
        </w:rPr>
      </w:pPr>
      <w:r>
        <w:rPr>
          <w:rFonts w:hint="eastAsia" w:ascii="仿宋_GB2312" w:eastAsia="仿宋_GB2312"/>
          <w:b/>
          <w:bCs/>
          <w:kern w:val="0"/>
          <w:sz w:val="32"/>
          <w:szCs w:val="32"/>
        </w:rPr>
        <w:t>（六）积极开展财政资金运行实时动态监控工作。</w:t>
      </w:r>
      <w:r>
        <w:rPr>
          <w:rFonts w:hint="eastAsia" w:ascii="仿宋_GB2312" w:eastAsia="仿宋_GB2312"/>
          <w:kern w:val="0"/>
          <w:sz w:val="32"/>
          <w:szCs w:val="32"/>
        </w:rPr>
        <w:t>加强财经纪律问责制度，建立健全资金运行监控业务运行规程和岗位职责，实现预算执行全过程的实时监督和预警，强化财政运行的事前和事中监督，减少和避免财政资金挪用、浪费，从源头上防止违规使用财政资金问题的发生。</w:t>
      </w:r>
    </w:p>
    <w:p>
      <w:pPr>
        <w:pBdr>
          <w:bottom w:val="single" w:color="FFFFFF" w:sz="4" w:space="31"/>
        </w:pBdr>
        <w:tabs>
          <w:tab w:val="left" w:pos="1440"/>
        </w:tabs>
        <w:spacing w:line="560" w:lineRule="exact"/>
        <w:ind w:firstLine="643" w:firstLineChars="200"/>
        <w:rPr>
          <w:rFonts w:ascii="黑体" w:hAnsi="宋体" w:eastAsia="黑体" w:cs="宋体"/>
          <w:b/>
          <w:kern w:val="0"/>
          <w:sz w:val="32"/>
          <w:szCs w:val="32"/>
        </w:rPr>
      </w:pPr>
      <w:r>
        <w:rPr>
          <w:rFonts w:hint="eastAsia" w:ascii="黑体" w:hAnsi="宋体" w:eastAsia="黑体" w:cs="宋体"/>
          <w:b/>
          <w:kern w:val="0"/>
          <w:sz w:val="32"/>
          <w:szCs w:val="32"/>
        </w:rPr>
        <w:t>九、注重队伍建设，努力提升素质树形象</w:t>
      </w:r>
    </w:p>
    <w:p>
      <w:pPr>
        <w:pBdr>
          <w:bottom w:val="single" w:color="FFFFFF" w:sz="4" w:space="31"/>
        </w:pBdr>
        <w:tabs>
          <w:tab w:val="left" w:pos="1440"/>
        </w:tabs>
        <w:snapToGrid w:val="0"/>
        <w:spacing w:line="560" w:lineRule="exact"/>
        <w:ind w:firstLine="643" w:firstLineChars="200"/>
        <w:contextualSpacing/>
        <w:rPr>
          <w:rFonts w:ascii="仿宋_GB2312" w:hAnsi="宋体" w:eastAsia="仿宋_GB2312" w:cs="宋体"/>
          <w:kern w:val="0"/>
          <w:sz w:val="32"/>
          <w:szCs w:val="32"/>
        </w:rPr>
      </w:pPr>
      <w:r>
        <w:rPr>
          <w:rFonts w:hint="eastAsia" w:ascii="仿宋_GB2312" w:eastAsia="仿宋_GB2312"/>
          <w:b/>
          <w:bCs/>
          <w:kern w:val="0"/>
          <w:sz w:val="32"/>
          <w:szCs w:val="32"/>
        </w:rPr>
        <w:t>（一）进一步提高班子建设的凝聚力。</w:t>
      </w:r>
      <w:r>
        <w:rPr>
          <w:rFonts w:hint="eastAsia" w:ascii="仿宋_GB2312" w:hAnsi="宋体" w:eastAsia="仿宋_GB2312" w:cs="宋体"/>
          <w:kern w:val="0"/>
          <w:sz w:val="32"/>
          <w:szCs w:val="32"/>
        </w:rPr>
        <w:t>把加强执政能力建设、贯彻执行民主集中制、加强和改进作风建设作为加强领导班子建设的核心内容来抓，努力打造学习型组织、创新性团队、实干型集体、廉洁型班子，使班子合力效应最大化。</w:t>
      </w:r>
    </w:p>
    <w:p>
      <w:pPr>
        <w:pBdr>
          <w:bottom w:val="single" w:color="FFFFFF" w:sz="4" w:space="31"/>
        </w:pBdr>
        <w:tabs>
          <w:tab w:val="left" w:pos="1440"/>
        </w:tabs>
        <w:snapToGrid w:val="0"/>
        <w:spacing w:line="560" w:lineRule="exact"/>
        <w:ind w:firstLine="643" w:firstLineChars="200"/>
        <w:contextualSpacing/>
        <w:rPr>
          <w:rFonts w:ascii="仿宋_GB2312" w:hAnsi="宋体" w:eastAsia="仿宋_GB2312" w:cs="宋体"/>
          <w:kern w:val="0"/>
          <w:sz w:val="32"/>
          <w:szCs w:val="32"/>
        </w:rPr>
      </w:pPr>
      <w:r>
        <w:rPr>
          <w:rFonts w:hint="eastAsia" w:ascii="仿宋_GB2312" w:eastAsia="仿宋_GB2312"/>
          <w:b/>
          <w:bCs/>
          <w:kern w:val="0"/>
          <w:sz w:val="32"/>
          <w:szCs w:val="32"/>
        </w:rPr>
        <w:t>（二）进一步提高作风建设的影响力。</w:t>
      </w:r>
      <w:r>
        <w:rPr>
          <w:rFonts w:hint="eastAsia" w:ascii="仿宋_GB2312" w:hAnsi="宋体" w:eastAsia="仿宋_GB2312" w:cs="宋体"/>
          <w:kern w:val="0"/>
          <w:sz w:val="32"/>
          <w:szCs w:val="32"/>
        </w:rPr>
        <w:t>按照党风廉政建设责任制要求及任务分工，认真落实惩防体系建设各项制度，增强财政干部拒腐防变能力。深入开展局机关效能建设活动，继续落实好服务承诺制、首问责任制、党务公开和政务公开制，以高效运转和优质服务提升服务对象的满意度。</w:t>
      </w:r>
    </w:p>
    <w:p>
      <w:pPr>
        <w:pBdr>
          <w:bottom w:val="single" w:color="FFFFFF" w:sz="4" w:space="31"/>
        </w:pBdr>
        <w:tabs>
          <w:tab w:val="left" w:pos="1440"/>
        </w:tabs>
        <w:snapToGrid w:val="0"/>
        <w:spacing w:line="560" w:lineRule="exact"/>
        <w:ind w:firstLine="643" w:firstLineChars="200"/>
        <w:contextualSpacing/>
        <w:rPr>
          <w:rFonts w:ascii="仿宋_GB2312" w:hAnsi="宋体" w:eastAsia="仿宋_GB2312" w:cs="宋体"/>
          <w:kern w:val="0"/>
          <w:sz w:val="32"/>
          <w:szCs w:val="32"/>
        </w:rPr>
      </w:pPr>
      <w:r>
        <w:rPr>
          <w:rFonts w:hint="eastAsia" w:ascii="仿宋_GB2312" w:eastAsia="仿宋_GB2312"/>
          <w:b/>
          <w:bCs/>
          <w:kern w:val="0"/>
          <w:sz w:val="32"/>
          <w:szCs w:val="32"/>
        </w:rPr>
        <w:t>（三）加大培训和知识更新力度，进一步提高干部队伍的战斗力。</w:t>
      </w:r>
      <w:r>
        <w:rPr>
          <w:rFonts w:hint="eastAsia" w:ascii="仿宋_GB2312" w:hAnsi="宋体" w:eastAsia="仿宋_GB2312" w:cs="宋体"/>
          <w:kern w:val="0"/>
          <w:sz w:val="32"/>
          <w:szCs w:val="32"/>
        </w:rPr>
        <w:t>以全面系统、深入扎实的政治理论为导向，围绕财政工作职责，将学习内容定位在创新服务理念、提高服务技能、提升服务水平上，进一步丰富学习内容，完善学习形式，不断提高干部队伍思想道德素质、政策理论水平、科学文化水平、业务工作水平和公共服务能力，努力在构建和谐托里的过程中有所作为。</w:t>
      </w:r>
    </w:p>
    <w:p>
      <w:pPr>
        <w:pBdr>
          <w:bottom w:val="single" w:color="FFFFFF" w:sz="4" w:space="31"/>
        </w:pBdr>
        <w:tabs>
          <w:tab w:val="left" w:pos="1440"/>
        </w:tabs>
        <w:snapToGrid w:val="0"/>
        <w:spacing w:line="560" w:lineRule="exact"/>
        <w:ind w:firstLine="643" w:firstLineChars="200"/>
        <w:contextualSpacing/>
        <w:rPr>
          <w:rFonts w:ascii="仿宋_GB2312" w:hAnsi="宋体" w:eastAsia="仿宋_GB2312" w:cs="宋体"/>
          <w:kern w:val="0"/>
          <w:sz w:val="32"/>
          <w:szCs w:val="32"/>
        </w:rPr>
      </w:pPr>
      <w:r>
        <w:rPr>
          <w:rFonts w:hint="eastAsia" w:ascii="仿宋_GB2312" w:eastAsia="仿宋_GB2312"/>
          <w:b/>
          <w:bCs/>
          <w:kern w:val="0"/>
          <w:sz w:val="32"/>
          <w:szCs w:val="32"/>
        </w:rPr>
        <w:t>（四）建立和完善规章制度，进一步提高制度建设的保障力。</w:t>
      </w:r>
      <w:r>
        <w:rPr>
          <w:rFonts w:hint="eastAsia" w:ascii="仿宋_GB2312" w:hAnsi="宋体" w:eastAsia="仿宋_GB2312" w:cs="宋体"/>
          <w:kern w:val="0"/>
          <w:sz w:val="32"/>
          <w:szCs w:val="32"/>
        </w:rPr>
        <w:t>重新修订、完善了绩效管理考核办法、固定资产管理办法、保密工作制度等内部管理规定，实施好内部控制制度和岗位目标绩效考评制度，进一步提升财政工作水平，规范工作行为，各项业务实行阳光操作，干部职工组织纪律观念、服务基层、服务群众、奉献财政的意识明显增强。</w:t>
      </w:r>
    </w:p>
    <w:p>
      <w:pPr>
        <w:pBdr>
          <w:bottom w:val="single" w:color="FFFFFF" w:sz="4" w:space="31"/>
        </w:pBdr>
        <w:tabs>
          <w:tab w:val="left" w:pos="1440"/>
        </w:tabs>
        <w:snapToGrid w:val="0"/>
        <w:spacing w:line="560" w:lineRule="exact"/>
        <w:ind w:firstLine="643" w:firstLineChars="200"/>
        <w:contextualSpacing/>
        <w:rPr>
          <w:rFonts w:ascii="黑体" w:hAnsi="宋体" w:eastAsia="黑体" w:cs="宋体"/>
          <w:b/>
          <w:kern w:val="0"/>
          <w:sz w:val="32"/>
          <w:szCs w:val="32"/>
        </w:rPr>
      </w:pPr>
      <w:r>
        <w:rPr>
          <w:rFonts w:hint="eastAsia" w:ascii="黑体" w:hAnsi="宋体" w:eastAsia="黑体" w:cs="宋体"/>
          <w:b/>
          <w:kern w:val="0"/>
          <w:sz w:val="32"/>
          <w:szCs w:val="32"/>
        </w:rPr>
        <w:t>十、2018年工作思路</w:t>
      </w:r>
    </w:p>
    <w:p>
      <w:pPr>
        <w:pBdr>
          <w:bottom w:val="single" w:color="FFFFFF" w:sz="4" w:space="31"/>
        </w:pBdr>
        <w:tabs>
          <w:tab w:val="left" w:pos="1440"/>
        </w:tabs>
        <w:snapToGrid w:val="0"/>
        <w:spacing w:line="560" w:lineRule="exact"/>
        <w:ind w:firstLine="640" w:firstLineChars="200"/>
        <w:contextualSpacing/>
        <w:rPr>
          <w:rFonts w:ascii="仿宋_GB2312" w:eastAsia="仿宋_GB2312"/>
          <w:kern w:val="0"/>
          <w:sz w:val="32"/>
          <w:szCs w:val="32"/>
        </w:rPr>
      </w:pPr>
      <w:r>
        <w:rPr>
          <w:rFonts w:hint="eastAsia" w:ascii="仿宋_GB2312" w:eastAsia="仿宋_GB2312"/>
          <w:kern w:val="0"/>
          <w:sz w:val="32"/>
          <w:szCs w:val="32"/>
        </w:rPr>
        <w:t>根据新时期财政经济形势和自治区党委、地委、县委的工作部署，考虑财政收入目标政策调整特别是实现经济社会稳定发展预期目标的需要。重点做好以下几个方面的工作：</w:t>
      </w:r>
    </w:p>
    <w:p>
      <w:pPr>
        <w:pBdr>
          <w:bottom w:val="single" w:color="FFFFFF" w:sz="4" w:space="31"/>
        </w:pBdr>
        <w:tabs>
          <w:tab w:val="left" w:pos="1440"/>
        </w:tabs>
        <w:snapToGrid w:val="0"/>
        <w:spacing w:line="560" w:lineRule="exact"/>
        <w:ind w:firstLine="643" w:firstLineChars="200"/>
        <w:contextualSpacing/>
        <w:rPr>
          <w:rFonts w:ascii="仿宋_GB2312" w:eastAsia="仿宋_GB2312"/>
          <w:kern w:val="0"/>
          <w:sz w:val="32"/>
          <w:szCs w:val="32"/>
        </w:rPr>
      </w:pPr>
      <w:r>
        <w:rPr>
          <w:rFonts w:hint="eastAsia" w:ascii="仿宋_GB2312" w:eastAsia="仿宋_GB2312"/>
          <w:b/>
          <w:kern w:val="0"/>
          <w:sz w:val="32"/>
          <w:szCs w:val="32"/>
        </w:rPr>
        <w:t>（一）深入推进财税体制改革，着力加强财政管理、提升管理水平。一是</w:t>
      </w:r>
      <w:r>
        <w:rPr>
          <w:rFonts w:hint="eastAsia" w:ascii="仿宋_GB2312" w:eastAsia="仿宋_GB2312"/>
          <w:kern w:val="0"/>
          <w:sz w:val="32"/>
          <w:szCs w:val="32"/>
        </w:rPr>
        <w:t>建立健全预算公开制度。提高预算公开工作效率，坚持以公开为常态，进一步细化公开内容、规范公开方式，建立权责清晰、财力协调、区域均衡的中央和地方财政关系。</w:t>
      </w:r>
      <w:r>
        <w:rPr>
          <w:rFonts w:hint="eastAsia" w:ascii="仿宋_GB2312" w:eastAsia="仿宋_GB2312"/>
          <w:b/>
          <w:kern w:val="0"/>
          <w:sz w:val="32"/>
          <w:szCs w:val="32"/>
        </w:rPr>
        <w:t>二是</w:t>
      </w:r>
      <w:r>
        <w:rPr>
          <w:rFonts w:hint="eastAsia" w:ascii="仿宋_GB2312" w:eastAsia="仿宋_GB2312"/>
          <w:kern w:val="0"/>
          <w:sz w:val="32"/>
          <w:szCs w:val="32"/>
        </w:rPr>
        <w:t>加强政府债务管理。完善偿债风险防控机制，严格落实责任追究制度，对全县政府性债务规模结构进行动态监测，把到期的债务偿还纳入预算管理，切实防范政府性债务风险。</w:t>
      </w:r>
      <w:r>
        <w:rPr>
          <w:rFonts w:hint="eastAsia" w:ascii="仿宋_GB2312" w:eastAsia="仿宋_GB2312"/>
          <w:b/>
          <w:kern w:val="0"/>
          <w:sz w:val="32"/>
          <w:szCs w:val="32"/>
        </w:rPr>
        <w:t>三是</w:t>
      </w:r>
      <w:r>
        <w:rPr>
          <w:rFonts w:hint="eastAsia" w:ascii="仿宋_GB2312" w:eastAsia="仿宋_GB2312"/>
          <w:kern w:val="0"/>
          <w:sz w:val="32"/>
          <w:szCs w:val="32"/>
        </w:rPr>
        <w:t>全面规范惠民资金发放工作。建立完善的基础数据库，严格按照地区惠农补贴资金管理“一卡通”系统发放资金，杜绝挤占、挪用、截留补贴资金的现象发生。</w:t>
      </w:r>
    </w:p>
    <w:p>
      <w:pPr>
        <w:pBdr>
          <w:bottom w:val="single" w:color="FFFFFF" w:sz="4" w:space="31"/>
        </w:pBdr>
        <w:tabs>
          <w:tab w:val="left" w:pos="1440"/>
        </w:tabs>
        <w:snapToGrid w:val="0"/>
        <w:spacing w:line="560" w:lineRule="exact"/>
        <w:ind w:firstLine="643" w:firstLineChars="200"/>
        <w:contextualSpacing/>
        <w:rPr>
          <w:rFonts w:ascii="仿宋_GB2312" w:eastAsia="仿宋_GB2312"/>
          <w:kern w:val="0"/>
          <w:sz w:val="32"/>
          <w:szCs w:val="32"/>
        </w:rPr>
      </w:pPr>
      <w:r>
        <w:rPr>
          <w:rFonts w:hint="eastAsia" w:ascii="仿宋_GB2312" w:eastAsia="仿宋_GB2312"/>
          <w:b/>
          <w:bCs/>
          <w:kern w:val="0"/>
          <w:sz w:val="32"/>
          <w:szCs w:val="32"/>
        </w:rPr>
        <w:t>（二）积极组织财政收入，着力保持收入稳定增长、壮大财政实力。</w:t>
      </w:r>
      <w:r>
        <w:rPr>
          <w:rFonts w:hint="eastAsia" w:ascii="仿宋_GB2312" w:eastAsia="仿宋_GB2312"/>
          <w:b/>
          <w:kern w:val="0"/>
          <w:sz w:val="32"/>
          <w:szCs w:val="32"/>
        </w:rPr>
        <w:t>一是</w:t>
      </w:r>
      <w:r>
        <w:rPr>
          <w:rFonts w:hint="eastAsia" w:ascii="仿宋_GB2312" w:eastAsia="仿宋_GB2312"/>
          <w:kern w:val="0"/>
          <w:sz w:val="32"/>
          <w:szCs w:val="32"/>
        </w:rPr>
        <w:t>加强税收征管。认真贯彻落实中央、自治区和地区确定的税收优惠政策，加强税收政策管理，坚决制止和纠正越权减免税。</w:t>
      </w:r>
      <w:r>
        <w:rPr>
          <w:rFonts w:hint="eastAsia" w:ascii="仿宋_GB2312" w:eastAsia="仿宋_GB2312"/>
          <w:b/>
          <w:kern w:val="0"/>
          <w:sz w:val="32"/>
          <w:szCs w:val="32"/>
        </w:rPr>
        <w:t>二是</w:t>
      </w:r>
      <w:r>
        <w:rPr>
          <w:rFonts w:hint="eastAsia" w:ascii="仿宋_GB2312" w:eastAsia="仿宋_GB2312"/>
          <w:kern w:val="0"/>
          <w:sz w:val="32"/>
          <w:szCs w:val="32"/>
        </w:rPr>
        <w:t>规范非税收入管理。强化非税收入收缴管理，加大重点非税收入项目征缴监管力度。完善资源、资产类非税收入管理政策，努力挖掘增收潜力。</w:t>
      </w:r>
      <w:r>
        <w:rPr>
          <w:rFonts w:hint="eastAsia" w:ascii="仿宋_GB2312" w:eastAsia="仿宋_GB2312"/>
          <w:b/>
          <w:kern w:val="0"/>
          <w:sz w:val="32"/>
          <w:szCs w:val="32"/>
        </w:rPr>
        <w:t>三是</w:t>
      </w:r>
      <w:r>
        <w:rPr>
          <w:rFonts w:hint="eastAsia" w:ascii="仿宋_GB2312" w:eastAsia="仿宋_GB2312"/>
          <w:kern w:val="0"/>
          <w:sz w:val="32"/>
          <w:szCs w:val="32"/>
        </w:rPr>
        <w:t>继续完善组织收入机制。坚持预算执行分析通报制度，加强收入组织部门之间的协调沟通。强化分部门、分税种、分地区的收入管理机制。完善预算执行动态考核机制，调动各县（市）财政组织收入的积极性。认真分析影响财政收入的各项因素，及时采取应对措施，确保税收应收尽收、及时入库。</w:t>
      </w:r>
    </w:p>
    <w:p>
      <w:pPr>
        <w:pBdr>
          <w:bottom w:val="single" w:color="FFFFFF" w:sz="4" w:space="31"/>
        </w:pBdr>
        <w:tabs>
          <w:tab w:val="left" w:pos="1440"/>
        </w:tabs>
        <w:snapToGrid w:val="0"/>
        <w:spacing w:line="560" w:lineRule="exact"/>
        <w:ind w:firstLine="643" w:firstLineChars="200"/>
        <w:contextualSpacing/>
        <w:rPr>
          <w:rFonts w:ascii="仿宋_GB2312" w:eastAsia="仿宋_GB2312"/>
          <w:kern w:val="0"/>
          <w:sz w:val="32"/>
          <w:szCs w:val="32"/>
        </w:rPr>
      </w:pPr>
      <w:r>
        <w:rPr>
          <w:rFonts w:hint="eastAsia" w:ascii="仿宋_GB2312" w:eastAsia="仿宋_GB2312"/>
          <w:b/>
          <w:bCs/>
          <w:kern w:val="0"/>
          <w:sz w:val="32"/>
          <w:szCs w:val="32"/>
        </w:rPr>
        <w:t>（三）调整优化支出结构，着力保障重点、加快支出进度。</w:t>
      </w:r>
      <w:r>
        <w:rPr>
          <w:rFonts w:hint="eastAsia" w:ascii="仿宋_GB2312" w:eastAsia="仿宋_GB2312"/>
          <w:b/>
          <w:kern w:val="0"/>
          <w:sz w:val="32"/>
          <w:szCs w:val="32"/>
        </w:rPr>
        <w:t>一是</w:t>
      </w:r>
      <w:r>
        <w:rPr>
          <w:rFonts w:hint="eastAsia" w:ascii="仿宋_GB2312" w:eastAsia="仿宋_GB2312"/>
          <w:kern w:val="0"/>
          <w:sz w:val="32"/>
          <w:szCs w:val="32"/>
        </w:rPr>
        <w:t>完善组织支出机制。坚持“保稳定、保基本、保重点、保民生，压一般”的支出原则，进一步调整优化支出结构，科学合理安排支出预算。强化民生支出责任，加大民生投入，确保各项民生政策落实到位。</w:t>
      </w:r>
      <w:r>
        <w:rPr>
          <w:rFonts w:hint="eastAsia" w:ascii="仿宋_GB2312" w:eastAsia="仿宋_GB2312"/>
          <w:b/>
          <w:kern w:val="0"/>
          <w:sz w:val="32"/>
          <w:szCs w:val="32"/>
        </w:rPr>
        <w:t>二是</w:t>
      </w:r>
      <w:r>
        <w:rPr>
          <w:rFonts w:hint="eastAsia" w:ascii="仿宋_GB2312" w:eastAsia="仿宋_GB2312"/>
          <w:kern w:val="0"/>
          <w:sz w:val="32"/>
          <w:szCs w:val="32"/>
        </w:rPr>
        <w:t>强化财政支出责任。坚持以人为本和集中财力办大事，强化预算管理，把有限的资金用到刀刃上。加快财政资金拨付和使用进度，提高财政资金使用效益。</w:t>
      </w:r>
    </w:p>
    <w:p>
      <w:pPr>
        <w:pBdr>
          <w:bottom w:val="single" w:color="FFFFFF" w:sz="4" w:space="31"/>
        </w:pBdr>
        <w:tabs>
          <w:tab w:val="left" w:pos="1440"/>
        </w:tabs>
        <w:snapToGrid w:val="0"/>
        <w:spacing w:line="560" w:lineRule="exact"/>
        <w:ind w:firstLine="643" w:firstLineChars="200"/>
        <w:contextualSpacing/>
        <w:rPr>
          <w:rFonts w:ascii="仿宋_GB2312" w:eastAsia="仿宋_GB2312"/>
          <w:kern w:val="0"/>
          <w:sz w:val="32"/>
          <w:szCs w:val="32"/>
        </w:rPr>
      </w:pPr>
      <w:r>
        <w:rPr>
          <w:rFonts w:hint="eastAsia" w:ascii="仿宋_GB2312" w:eastAsia="仿宋_GB2312"/>
          <w:b/>
          <w:bCs/>
          <w:kern w:val="0"/>
          <w:sz w:val="32"/>
          <w:szCs w:val="32"/>
        </w:rPr>
        <w:t>（四）着力保障和改善民生，提高各族人民群众获得感、增强生活质量。</w:t>
      </w:r>
      <w:r>
        <w:rPr>
          <w:rFonts w:hint="eastAsia" w:ascii="仿宋_GB2312" w:eastAsia="仿宋_GB2312"/>
          <w:b/>
          <w:kern w:val="0"/>
          <w:sz w:val="32"/>
          <w:szCs w:val="32"/>
        </w:rPr>
        <w:t>一是</w:t>
      </w:r>
      <w:r>
        <w:rPr>
          <w:rFonts w:hint="eastAsia" w:ascii="仿宋_GB2312" w:eastAsia="仿宋_GB2312"/>
          <w:kern w:val="0"/>
          <w:sz w:val="32"/>
          <w:szCs w:val="32"/>
        </w:rPr>
        <w:t>促进就业。深入落实以就业为导向，补贴标准与职业类别、培训层次和培训时间相结合的职业培训补贴办法。落实未就业高校毕业生自主创业补贴、岗位补贴和“三支一扶”补贴，促进高校毕业生到基层和企业就业。</w:t>
      </w:r>
      <w:r>
        <w:rPr>
          <w:rFonts w:hint="eastAsia" w:ascii="仿宋_GB2312" w:eastAsia="仿宋_GB2312"/>
          <w:b/>
          <w:kern w:val="0"/>
          <w:sz w:val="32"/>
          <w:szCs w:val="32"/>
        </w:rPr>
        <w:t>二是</w:t>
      </w:r>
      <w:r>
        <w:rPr>
          <w:rFonts w:hint="eastAsia" w:ascii="仿宋_GB2312" w:eastAsia="仿宋_GB2312"/>
          <w:kern w:val="0"/>
          <w:sz w:val="32"/>
          <w:szCs w:val="32"/>
        </w:rPr>
        <w:t>全面落实“社保惠民”政策。加强养老保险管理，强化基本养老保险基金征缴、严格基金支出管理，及时筹措并落实企事业单位退休人员基本养老金提标资金，并做好基金保值增值工作；确保农村有意愿的“五保”老人和孤儿全部纳入集中供（收）养。</w:t>
      </w:r>
      <w:r>
        <w:rPr>
          <w:rFonts w:hint="eastAsia" w:ascii="仿宋_GB2312" w:eastAsia="仿宋_GB2312"/>
          <w:b/>
          <w:kern w:val="0"/>
          <w:sz w:val="32"/>
          <w:szCs w:val="32"/>
        </w:rPr>
        <w:t>三是</w:t>
      </w:r>
      <w:r>
        <w:rPr>
          <w:rFonts w:hint="eastAsia" w:ascii="仿宋_GB2312" w:eastAsia="仿宋_GB2312"/>
          <w:kern w:val="0"/>
          <w:sz w:val="32"/>
          <w:szCs w:val="32"/>
        </w:rPr>
        <w:t>加强公共文化体系建设。积极争取上级公共文化建设专项资金，大力推动我县公共文化基础设施建设，支持少数民族文化传承，管好用好图书馆、博物馆等免费开放专项资金，弘扬少数民族文化，丰富人民群众文化生活。</w:t>
      </w:r>
    </w:p>
    <w:p>
      <w:pPr>
        <w:pBdr>
          <w:bottom w:val="single" w:color="FFFFFF" w:sz="4" w:space="31"/>
        </w:pBdr>
        <w:tabs>
          <w:tab w:val="left" w:pos="1440"/>
        </w:tabs>
        <w:snapToGrid w:val="0"/>
        <w:spacing w:line="560" w:lineRule="exact"/>
        <w:ind w:firstLine="643" w:firstLineChars="200"/>
        <w:contextualSpacing/>
        <w:rPr>
          <w:rFonts w:ascii="仿宋_GB2312" w:eastAsia="仿宋_GB2312"/>
          <w:kern w:val="0"/>
          <w:sz w:val="32"/>
          <w:szCs w:val="32"/>
        </w:rPr>
      </w:pPr>
      <w:r>
        <w:rPr>
          <w:rFonts w:hint="eastAsia" w:ascii="仿宋_GB2312" w:eastAsia="仿宋_GB2312"/>
          <w:b/>
          <w:bCs/>
          <w:kern w:val="0"/>
          <w:sz w:val="32"/>
          <w:szCs w:val="32"/>
        </w:rPr>
        <w:t>（五）发挥财政调控职能，促进经济结构转型。</w:t>
      </w:r>
      <w:r>
        <w:rPr>
          <w:rFonts w:hint="eastAsia" w:ascii="仿宋_GB2312" w:eastAsia="仿宋_GB2312"/>
          <w:b/>
          <w:kern w:val="0"/>
          <w:sz w:val="32"/>
          <w:szCs w:val="32"/>
        </w:rPr>
        <w:t>一是</w:t>
      </w:r>
      <w:r>
        <w:rPr>
          <w:rFonts w:hint="eastAsia" w:ascii="仿宋_GB2312" w:eastAsia="仿宋_GB2312"/>
          <w:kern w:val="0"/>
          <w:sz w:val="32"/>
          <w:szCs w:val="32"/>
        </w:rPr>
        <w:t>认真落实税收优惠政策，全面推进简政放权，继续建立完善涉企收费清单制度，清理行政事业性收费和政府性基金项目，降低市场主体获取公共服务的成本。</w:t>
      </w:r>
      <w:r>
        <w:rPr>
          <w:rFonts w:hint="eastAsia" w:ascii="仿宋_GB2312" w:eastAsia="仿宋_GB2312"/>
          <w:b/>
          <w:kern w:val="0"/>
          <w:sz w:val="32"/>
          <w:szCs w:val="32"/>
        </w:rPr>
        <w:t>二是</w:t>
      </w:r>
      <w:r>
        <w:rPr>
          <w:rFonts w:hint="eastAsia" w:ascii="仿宋_GB2312" w:eastAsia="仿宋_GB2312"/>
          <w:kern w:val="0"/>
          <w:sz w:val="32"/>
          <w:szCs w:val="32"/>
        </w:rPr>
        <w:t>继续推进PPP工作，大力推进政府和社会资本合作PPP工作，引导社会资本进入公共服务、基础设施等领域。制定PPP项目奖补政策，加快推动PPP项目落地实施。</w:t>
      </w:r>
      <w:r>
        <w:rPr>
          <w:rFonts w:hint="eastAsia" w:ascii="仿宋_GB2312" w:eastAsia="仿宋_GB2312"/>
          <w:b/>
          <w:kern w:val="0"/>
          <w:sz w:val="32"/>
          <w:szCs w:val="32"/>
        </w:rPr>
        <w:t>三是</w:t>
      </w:r>
      <w:r>
        <w:rPr>
          <w:rFonts w:hint="eastAsia" w:ascii="仿宋_GB2312" w:eastAsia="仿宋_GB2312"/>
          <w:kern w:val="0"/>
          <w:sz w:val="32"/>
          <w:szCs w:val="32"/>
        </w:rPr>
        <w:t>推进政府购买服务，继续建立完善政府购买服务指导性目录,督促和支持各行业、部门研究出台本行业、部门的政府购买服务管理办法。重点在教育、体育、文化、住房保障、社会工作服务、社区建设等领域开展，提高基础设施公共服务水平。</w:t>
      </w:r>
    </w:p>
    <w:p>
      <w:pPr>
        <w:pBdr>
          <w:bottom w:val="single" w:color="FFFFFF" w:sz="4" w:space="31"/>
        </w:pBdr>
        <w:tabs>
          <w:tab w:val="left" w:pos="1440"/>
        </w:tabs>
        <w:snapToGrid w:val="0"/>
        <w:spacing w:line="560" w:lineRule="exact"/>
        <w:ind w:firstLine="643" w:firstLineChars="200"/>
        <w:contextualSpacing/>
        <w:rPr>
          <w:rFonts w:ascii="仿宋_GB2312" w:eastAsia="仿宋_GB2312"/>
          <w:kern w:val="0"/>
          <w:sz w:val="32"/>
          <w:szCs w:val="32"/>
        </w:rPr>
      </w:pPr>
      <w:r>
        <w:rPr>
          <w:rFonts w:hint="eastAsia" w:ascii="仿宋_GB2312" w:eastAsia="仿宋_GB2312"/>
          <w:b/>
          <w:bCs/>
          <w:kern w:val="0"/>
          <w:sz w:val="32"/>
          <w:szCs w:val="32"/>
        </w:rPr>
        <w:t>（六）深入推进全面从严治党，提高干部队伍的思想建设。</w:t>
      </w:r>
      <w:r>
        <w:rPr>
          <w:rFonts w:hint="eastAsia" w:ascii="仿宋_GB2312" w:eastAsia="仿宋_GB2312"/>
          <w:b/>
          <w:kern w:val="0"/>
          <w:sz w:val="32"/>
          <w:szCs w:val="32"/>
        </w:rPr>
        <w:t>一是</w:t>
      </w:r>
      <w:r>
        <w:rPr>
          <w:rFonts w:hint="eastAsia" w:ascii="仿宋_GB2312" w:eastAsia="仿宋_GB2312"/>
          <w:kern w:val="0"/>
          <w:sz w:val="32"/>
          <w:szCs w:val="32"/>
        </w:rPr>
        <w:t>坚持正确的用人导向。以“不忘初心、牢记使命”主题活动为载体，按照习近平总书记指出的“信念坚定、为民服务、勤政务实、敢于担当、清正廉洁”好干部标准，</w:t>
      </w:r>
      <w:r>
        <w:rPr>
          <w:rFonts w:hint="eastAsia" w:ascii="仿宋_GB2312" w:eastAsia="仿宋_GB2312"/>
          <w:kern w:val="0"/>
          <w:sz w:val="32"/>
          <w:szCs w:val="32"/>
          <w:lang w:eastAsia="zh-CN"/>
        </w:rPr>
        <w:t>选拔</w:t>
      </w:r>
      <w:r>
        <w:rPr>
          <w:rFonts w:hint="eastAsia" w:ascii="仿宋_GB2312" w:eastAsia="仿宋_GB2312"/>
          <w:kern w:val="0"/>
          <w:sz w:val="32"/>
          <w:szCs w:val="32"/>
        </w:rPr>
        <w:t>讲看齐、品行端、会作为、敢担当、作风实的干部，完善干部管理制度，加强干部教育培训，健全干部管理长效机制，</w:t>
      </w:r>
      <w:r>
        <w:rPr>
          <w:rFonts w:hint="eastAsia" w:ascii="仿宋_GB2312" w:eastAsia="仿宋_GB2312"/>
          <w:kern w:val="0"/>
          <w:sz w:val="32"/>
          <w:szCs w:val="32"/>
          <w:lang w:eastAsia="zh-CN"/>
        </w:rPr>
        <w:t>选拔</w:t>
      </w:r>
      <w:r>
        <w:rPr>
          <w:rFonts w:hint="eastAsia" w:ascii="仿宋_GB2312" w:eastAsia="仿宋_GB2312"/>
          <w:kern w:val="0"/>
          <w:sz w:val="32"/>
          <w:szCs w:val="32"/>
        </w:rPr>
        <w:t>有大局观念、开放思维、危机意识、优良作风的优秀干部，努力</w:t>
      </w:r>
      <w:bookmarkStart w:id="0" w:name="_GoBack"/>
      <w:bookmarkEnd w:id="0"/>
      <w:r>
        <w:rPr>
          <w:rFonts w:hint="eastAsia" w:ascii="仿宋_GB2312" w:eastAsia="仿宋_GB2312"/>
          <w:kern w:val="0"/>
          <w:sz w:val="32"/>
          <w:szCs w:val="32"/>
        </w:rPr>
        <w:t>建设一支忠诚、干净、担当的财政好干部。二是不断提高履职能力。坚决贯彻执行各项财经法律法规和财政政策，注重依法依规办事，树立在法律法规和政策约束下开展财政收支工作的理念，全面提升财政干部研究财政政策、推进财政各项工作的综合能力。</w:t>
      </w:r>
    </w:p>
    <w:p>
      <w:pPr>
        <w:pBdr>
          <w:bottom w:val="single" w:color="FFFFFF" w:sz="4" w:space="31"/>
        </w:pBdr>
        <w:tabs>
          <w:tab w:val="left" w:pos="1440"/>
        </w:tabs>
        <w:snapToGrid w:val="0"/>
        <w:spacing w:line="560" w:lineRule="exact"/>
        <w:ind w:firstLine="640" w:firstLineChars="200"/>
        <w:contextualSpacing/>
        <w:rPr>
          <w:rFonts w:ascii="仿宋_GB2312" w:eastAsia="仿宋_GB2312"/>
          <w:kern w:val="0"/>
          <w:sz w:val="32"/>
          <w:szCs w:val="32"/>
        </w:rPr>
      </w:pPr>
    </w:p>
    <w:p>
      <w:pPr>
        <w:pBdr>
          <w:bottom w:val="single" w:color="FFFFFF" w:sz="4" w:space="31"/>
        </w:pBdr>
        <w:tabs>
          <w:tab w:val="left" w:pos="1440"/>
        </w:tabs>
        <w:snapToGrid w:val="0"/>
        <w:spacing w:line="560" w:lineRule="exact"/>
        <w:ind w:firstLine="640" w:firstLineChars="200"/>
        <w:contextualSpacing/>
        <w:rPr>
          <w:rFonts w:ascii="仿宋_GB2312" w:eastAsia="仿宋_GB2312"/>
          <w:kern w:val="0"/>
          <w:sz w:val="32"/>
          <w:szCs w:val="32"/>
        </w:rPr>
      </w:pPr>
    </w:p>
    <w:p>
      <w:pPr>
        <w:pBdr>
          <w:bottom w:val="single" w:color="FFFFFF" w:sz="4" w:space="31"/>
        </w:pBdr>
        <w:tabs>
          <w:tab w:val="left" w:pos="1440"/>
        </w:tabs>
        <w:spacing w:line="560" w:lineRule="exact"/>
        <w:rPr>
          <w:rFonts w:ascii="仿宋_GB2312" w:eastAsia="仿宋_GB2312"/>
          <w:kern w:val="0"/>
          <w:sz w:val="32"/>
          <w:szCs w:val="32"/>
        </w:rPr>
      </w:pPr>
      <w:r>
        <w:rPr>
          <w:rFonts w:hint="eastAsia" w:ascii="仿宋_GB2312" w:eastAsia="仿宋_GB2312"/>
          <w:kern w:val="0"/>
          <w:sz w:val="32"/>
          <w:szCs w:val="32"/>
        </w:rPr>
        <w:t xml:space="preserve">                                                                                   托里县财政局</w:t>
      </w:r>
    </w:p>
    <w:p>
      <w:pPr>
        <w:pBdr>
          <w:bottom w:val="single" w:color="FFFFFF" w:sz="4" w:space="31"/>
        </w:pBdr>
        <w:tabs>
          <w:tab w:val="left" w:pos="1440"/>
        </w:tabs>
        <w:spacing w:line="560" w:lineRule="exact"/>
        <w:rPr>
          <w:rFonts w:ascii="仿宋_GB2312" w:eastAsia="仿宋_GB2312"/>
          <w:kern w:val="0"/>
          <w:sz w:val="32"/>
          <w:szCs w:val="32"/>
        </w:rPr>
      </w:pPr>
      <w:r>
        <w:rPr>
          <w:rFonts w:hint="eastAsia" w:ascii="仿宋_GB2312" w:eastAsia="仿宋_GB2312"/>
          <w:kern w:val="0"/>
          <w:sz w:val="32"/>
          <w:szCs w:val="32"/>
        </w:rPr>
        <w:t xml:space="preserve">                                                                                二0一八年元月十三日</w:t>
      </w:r>
    </w:p>
    <w:sectPr>
      <w:headerReference r:id="rId3" w:type="default"/>
      <w:footerReference r:id="rId4" w:type="default"/>
      <w:footerReference r:id="rId5" w:type="even"/>
      <w:pgSz w:w="20639" w:h="14572" w:orient="landscape"/>
      <w:pgMar w:top="1440" w:right="1797" w:bottom="1440" w:left="1797" w:header="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roman"/>
    <w:pitch w:val=""/>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20</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D114F6"/>
    <w:multiLevelType w:val="multilevel"/>
    <w:tmpl w:val="42D114F6"/>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874BE90"/>
    <w:multiLevelType w:val="singleLevel"/>
    <w:tmpl w:val="5874BE90"/>
    <w:lvl w:ilvl="0" w:tentative="0">
      <w:start w:val="1"/>
      <w:numFmt w:val="chineseCounting"/>
      <w:suff w:val="nothing"/>
      <w:lvlText w:val="%1、"/>
      <w:lvlJc w:val="left"/>
    </w:lvl>
  </w:abstractNum>
  <w:abstractNum w:abstractNumId="2">
    <w:nsid w:val="5A09977E"/>
    <w:multiLevelType w:val="singleLevel"/>
    <w:tmpl w:val="5A09977E"/>
    <w:lvl w:ilvl="0" w:tentative="0">
      <w:start w:val="4"/>
      <w:numFmt w:val="chineseCounting"/>
      <w:suff w:val="nothing"/>
      <w:lvlText w:val="（%1）"/>
      <w:lvlJc w:val="left"/>
      <w:pPr>
        <w:ind w:left="0" w:firstLine="0"/>
      </w:pPr>
    </w:lvl>
  </w:abstractNum>
  <w:num w:numId="1">
    <w:abstractNumId w:val="1"/>
  </w:num>
  <w:num w:numId="2">
    <w:abstractNumId w:val="2"/>
    <w:lvlOverride w:ilvl="0">
      <w:startOverride w:val="4"/>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627D46"/>
    <w:rsid w:val="00000357"/>
    <w:rsid w:val="00000D8B"/>
    <w:rsid w:val="00000DA7"/>
    <w:rsid w:val="00001EA7"/>
    <w:rsid w:val="000028C7"/>
    <w:rsid w:val="00010561"/>
    <w:rsid w:val="000173E0"/>
    <w:rsid w:val="0002316E"/>
    <w:rsid w:val="0002686F"/>
    <w:rsid w:val="000270E1"/>
    <w:rsid w:val="00036177"/>
    <w:rsid w:val="00037EE2"/>
    <w:rsid w:val="00040A3B"/>
    <w:rsid w:val="00045C47"/>
    <w:rsid w:val="00046679"/>
    <w:rsid w:val="00046AA1"/>
    <w:rsid w:val="00047D12"/>
    <w:rsid w:val="00050E87"/>
    <w:rsid w:val="00051DA8"/>
    <w:rsid w:val="00053A10"/>
    <w:rsid w:val="00060EC8"/>
    <w:rsid w:val="00061ACD"/>
    <w:rsid w:val="0007035A"/>
    <w:rsid w:val="0007130B"/>
    <w:rsid w:val="00075795"/>
    <w:rsid w:val="00075B78"/>
    <w:rsid w:val="00080267"/>
    <w:rsid w:val="00080DC3"/>
    <w:rsid w:val="00082222"/>
    <w:rsid w:val="00082AC1"/>
    <w:rsid w:val="00083111"/>
    <w:rsid w:val="000877F0"/>
    <w:rsid w:val="000A0AC2"/>
    <w:rsid w:val="000A346A"/>
    <w:rsid w:val="000A549F"/>
    <w:rsid w:val="000B6376"/>
    <w:rsid w:val="000C4177"/>
    <w:rsid w:val="000C5343"/>
    <w:rsid w:val="000C7DF6"/>
    <w:rsid w:val="000D04C1"/>
    <w:rsid w:val="000D3D5B"/>
    <w:rsid w:val="000D4BE9"/>
    <w:rsid w:val="000E14E5"/>
    <w:rsid w:val="000E7026"/>
    <w:rsid w:val="000E774F"/>
    <w:rsid w:val="000F4A92"/>
    <w:rsid w:val="000F75CD"/>
    <w:rsid w:val="000F7A91"/>
    <w:rsid w:val="001024D7"/>
    <w:rsid w:val="00111380"/>
    <w:rsid w:val="0011467E"/>
    <w:rsid w:val="00117428"/>
    <w:rsid w:val="00125551"/>
    <w:rsid w:val="00127ED0"/>
    <w:rsid w:val="0013109A"/>
    <w:rsid w:val="001352C3"/>
    <w:rsid w:val="00136631"/>
    <w:rsid w:val="0013794D"/>
    <w:rsid w:val="00137EEF"/>
    <w:rsid w:val="00141F01"/>
    <w:rsid w:val="00145DF2"/>
    <w:rsid w:val="00151568"/>
    <w:rsid w:val="0015297E"/>
    <w:rsid w:val="001577BA"/>
    <w:rsid w:val="0016000B"/>
    <w:rsid w:val="00160EA5"/>
    <w:rsid w:val="00161C96"/>
    <w:rsid w:val="001742EC"/>
    <w:rsid w:val="00185236"/>
    <w:rsid w:val="00194149"/>
    <w:rsid w:val="001A6C33"/>
    <w:rsid w:val="001B7871"/>
    <w:rsid w:val="001C1F36"/>
    <w:rsid w:val="001C5DAD"/>
    <w:rsid w:val="001D06A8"/>
    <w:rsid w:val="001E0A6C"/>
    <w:rsid w:val="001E2F82"/>
    <w:rsid w:val="001F3155"/>
    <w:rsid w:val="001F5EFB"/>
    <w:rsid w:val="001F6120"/>
    <w:rsid w:val="00201DEF"/>
    <w:rsid w:val="00202E63"/>
    <w:rsid w:val="00203B7C"/>
    <w:rsid w:val="00205561"/>
    <w:rsid w:val="00212403"/>
    <w:rsid w:val="0021627D"/>
    <w:rsid w:val="00221097"/>
    <w:rsid w:val="00222963"/>
    <w:rsid w:val="00223C01"/>
    <w:rsid w:val="002245BC"/>
    <w:rsid w:val="0023424E"/>
    <w:rsid w:val="00244CEA"/>
    <w:rsid w:val="00245A19"/>
    <w:rsid w:val="00245BD3"/>
    <w:rsid w:val="00247F22"/>
    <w:rsid w:val="002567E5"/>
    <w:rsid w:val="00260B98"/>
    <w:rsid w:val="00261C79"/>
    <w:rsid w:val="002621A4"/>
    <w:rsid w:val="00264BF1"/>
    <w:rsid w:val="00267BC1"/>
    <w:rsid w:val="002730A1"/>
    <w:rsid w:val="00275A63"/>
    <w:rsid w:val="00280161"/>
    <w:rsid w:val="00282907"/>
    <w:rsid w:val="00290815"/>
    <w:rsid w:val="00293645"/>
    <w:rsid w:val="00296AB7"/>
    <w:rsid w:val="002A4AA5"/>
    <w:rsid w:val="002B0062"/>
    <w:rsid w:val="002B3157"/>
    <w:rsid w:val="002D06F8"/>
    <w:rsid w:val="002D31D3"/>
    <w:rsid w:val="002D5369"/>
    <w:rsid w:val="002D5DF3"/>
    <w:rsid w:val="002D664F"/>
    <w:rsid w:val="002E1FCB"/>
    <w:rsid w:val="002F7C16"/>
    <w:rsid w:val="00306114"/>
    <w:rsid w:val="003073DD"/>
    <w:rsid w:val="00307778"/>
    <w:rsid w:val="003104E8"/>
    <w:rsid w:val="003168A4"/>
    <w:rsid w:val="00316DC4"/>
    <w:rsid w:val="00323EF5"/>
    <w:rsid w:val="00325111"/>
    <w:rsid w:val="00333039"/>
    <w:rsid w:val="003348CC"/>
    <w:rsid w:val="00340D4A"/>
    <w:rsid w:val="003417CC"/>
    <w:rsid w:val="00342219"/>
    <w:rsid w:val="003437AC"/>
    <w:rsid w:val="003440F7"/>
    <w:rsid w:val="00347153"/>
    <w:rsid w:val="00350858"/>
    <w:rsid w:val="003509A0"/>
    <w:rsid w:val="00350BB0"/>
    <w:rsid w:val="00355D10"/>
    <w:rsid w:val="003609A1"/>
    <w:rsid w:val="00361250"/>
    <w:rsid w:val="0036182B"/>
    <w:rsid w:val="00364F04"/>
    <w:rsid w:val="003655A5"/>
    <w:rsid w:val="00376895"/>
    <w:rsid w:val="00386C65"/>
    <w:rsid w:val="00392C52"/>
    <w:rsid w:val="003B0F2D"/>
    <w:rsid w:val="003B42FC"/>
    <w:rsid w:val="003C0BAE"/>
    <w:rsid w:val="003C1785"/>
    <w:rsid w:val="003C512B"/>
    <w:rsid w:val="003D15F8"/>
    <w:rsid w:val="003D5698"/>
    <w:rsid w:val="003D6606"/>
    <w:rsid w:val="003E6916"/>
    <w:rsid w:val="003E6CF7"/>
    <w:rsid w:val="003E6FBE"/>
    <w:rsid w:val="003E789F"/>
    <w:rsid w:val="003E7CC1"/>
    <w:rsid w:val="0040275C"/>
    <w:rsid w:val="00412C16"/>
    <w:rsid w:val="00413855"/>
    <w:rsid w:val="004170AD"/>
    <w:rsid w:val="00417FBC"/>
    <w:rsid w:val="00420CB1"/>
    <w:rsid w:val="004234F4"/>
    <w:rsid w:val="004251C5"/>
    <w:rsid w:val="004255F9"/>
    <w:rsid w:val="004277AA"/>
    <w:rsid w:val="004347D5"/>
    <w:rsid w:val="00436582"/>
    <w:rsid w:val="00437637"/>
    <w:rsid w:val="00441B7D"/>
    <w:rsid w:val="004432E8"/>
    <w:rsid w:val="00451E01"/>
    <w:rsid w:val="0045512B"/>
    <w:rsid w:val="004606B7"/>
    <w:rsid w:val="00460DDD"/>
    <w:rsid w:val="00466E00"/>
    <w:rsid w:val="00467455"/>
    <w:rsid w:val="00467BBD"/>
    <w:rsid w:val="004719DB"/>
    <w:rsid w:val="00471A4C"/>
    <w:rsid w:val="004724B2"/>
    <w:rsid w:val="004730A7"/>
    <w:rsid w:val="004745EC"/>
    <w:rsid w:val="00492B03"/>
    <w:rsid w:val="00493954"/>
    <w:rsid w:val="00494936"/>
    <w:rsid w:val="00497836"/>
    <w:rsid w:val="004A22E2"/>
    <w:rsid w:val="004B480C"/>
    <w:rsid w:val="004B4F0D"/>
    <w:rsid w:val="004C18DD"/>
    <w:rsid w:val="004C7918"/>
    <w:rsid w:val="004D62E7"/>
    <w:rsid w:val="004E0342"/>
    <w:rsid w:val="004E1CCA"/>
    <w:rsid w:val="004E6B9F"/>
    <w:rsid w:val="004F2A68"/>
    <w:rsid w:val="004F32FF"/>
    <w:rsid w:val="004F39AF"/>
    <w:rsid w:val="00500873"/>
    <w:rsid w:val="00503D75"/>
    <w:rsid w:val="0051454A"/>
    <w:rsid w:val="00525076"/>
    <w:rsid w:val="00532E15"/>
    <w:rsid w:val="0053331D"/>
    <w:rsid w:val="005336A8"/>
    <w:rsid w:val="00533AFE"/>
    <w:rsid w:val="005439DC"/>
    <w:rsid w:val="00556011"/>
    <w:rsid w:val="00564DC2"/>
    <w:rsid w:val="005652CD"/>
    <w:rsid w:val="0057570C"/>
    <w:rsid w:val="00581461"/>
    <w:rsid w:val="00583BED"/>
    <w:rsid w:val="00587072"/>
    <w:rsid w:val="005874F6"/>
    <w:rsid w:val="00591407"/>
    <w:rsid w:val="00596DDE"/>
    <w:rsid w:val="00597BD7"/>
    <w:rsid w:val="005A4329"/>
    <w:rsid w:val="005C1A26"/>
    <w:rsid w:val="005C4439"/>
    <w:rsid w:val="005D31DB"/>
    <w:rsid w:val="005D7676"/>
    <w:rsid w:val="005E5044"/>
    <w:rsid w:val="005E6E31"/>
    <w:rsid w:val="005E71C6"/>
    <w:rsid w:val="005E7320"/>
    <w:rsid w:val="005F3386"/>
    <w:rsid w:val="005F4A80"/>
    <w:rsid w:val="005F7A7D"/>
    <w:rsid w:val="00601E75"/>
    <w:rsid w:val="0060546C"/>
    <w:rsid w:val="00617B69"/>
    <w:rsid w:val="0062356A"/>
    <w:rsid w:val="00625023"/>
    <w:rsid w:val="00627D46"/>
    <w:rsid w:val="00627E99"/>
    <w:rsid w:val="00634611"/>
    <w:rsid w:val="00635E13"/>
    <w:rsid w:val="006360ED"/>
    <w:rsid w:val="00643D4D"/>
    <w:rsid w:val="00645FEC"/>
    <w:rsid w:val="006477FC"/>
    <w:rsid w:val="00651F47"/>
    <w:rsid w:val="00656BDA"/>
    <w:rsid w:val="00657A35"/>
    <w:rsid w:val="00664DFE"/>
    <w:rsid w:val="006723E0"/>
    <w:rsid w:val="006855D6"/>
    <w:rsid w:val="00691F08"/>
    <w:rsid w:val="00693C2C"/>
    <w:rsid w:val="00697515"/>
    <w:rsid w:val="006A17CA"/>
    <w:rsid w:val="006A2A41"/>
    <w:rsid w:val="006A68BC"/>
    <w:rsid w:val="006B09BB"/>
    <w:rsid w:val="006B18D5"/>
    <w:rsid w:val="006B30C5"/>
    <w:rsid w:val="006B50CC"/>
    <w:rsid w:val="006B5BD0"/>
    <w:rsid w:val="006C1215"/>
    <w:rsid w:val="006C1222"/>
    <w:rsid w:val="006C32D7"/>
    <w:rsid w:val="006D1216"/>
    <w:rsid w:val="006D2031"/>
    <w:rsid w:val="006D3F67"/>
    <w:rsid w:val="006D44FA"/>
    <w:rsid w:val="006D4DFB"/>
    <w:rsid w:val="006E3C74"/>
    <w:rsid w:val="006E42B1"/>
    <w:rsid w:val="006E740B"/>
    <w:rsid w:val="006E7D98"/>
    <w:rsid w:val="006E7F6A"/>
    <w:rsid w:val="006F0B7D"/>
    <w:rsid w:val="006F1078"/>
    <w:rsid w:val="006F776D"/>
    <w:rsid w:val="006F78FD"/>
    <w:rsid w:val="00706B8E"/>
    <w:rsid w:val="00707031"/>
    <w:rsid w:val="007153E6"/>
    <w:rsid w:val="00716F98"/>
    <w:rsid w:val="00721840"/>
    <w:rsid w:val="00727830"/>
    <w:rsid w:val="00733C9B"/>
    <w:rsid w:val="00733F02"/>
    <w:rsid w:val="007353B5"/>
    <w:rsid w:val="00752544"/>
    <w:rsid w:val="007547F6"/>
    <w:rsid w:val="00757C41"/>
    <w:rsid w:val="00760374"/>
    <w:rsid w:val="00760404"/>
    <w:rsid w:val="00760C3F"/>
    <w:rsid w:val="00765C0E"/>
    <w:rsid w:val="007667E4"/>
    <w:rsid w:val="007726DB"/>
    <w:rsid w:val="007750F5"/>
    <w:rsid w:val="00780E62"/>
    <w:rsid w:val="0079160F"/>
    <w:rsid w:val="00793D40"/>
    <w:rsid w:val="007A18C9"/>
    <w:rsid w:val="007A1A2F"/>
    <w:rsid w:val="007A5F06"/>
    <w:rsid w:val="007A68B2"/>
    <w:rsid w:val="007B3364"/>
    <w:rsid w:val="007C094C"/>
    <w:rsid w:val="007C1841"/>
    <w:rsid w:val="007C674C"/>
    <w:rsid w:val="007D09BB"/>
    <w:rsid w:val="007D438A"/>
    <w:rsid w:val="007E3DE3"/>
    <w:rsid w:val="007E73AB"/>
    <w:rsid w:val="007E788B"/>
    <w:rsid w:val="007F1997"/>
    <w:rsid w:val="007F465C"/>
    <w:rsid w:val="007F75E7"/>
    <w:rsid w:val="0080732F"/>
    <w:rsid w:val="00811564"/>
    <w:rsid w:val="00812BBB"/>
    <w:rsid w:val="008174BF"/>
    <w:rsid w:val="008174E3"/>
    <w:rsid w:val="00826F9D"/>
    <w:rsid w:val="00827150"/>
    <w:rsid w:val="008304AE"/>
    <w:rsid w:val="00830E6D"/>
    <w:rsid w:val="008349EB"/>
    <w:rsid w:val="00834EBF"/>
    <w:rsid w:val="00837701"/>
    <w:rsid w:val="0084035E"/>
    <w:rsid w:val="008415E0"/>
    <w:rsid w:val="0084414F"/>
    <w:rsid w:val="00844557"/>
    <w:rsid w:val="00844AB3"/>
    <w:rsid w:val="008644F4"/>
    <w:rsid w:val="0087094C"/>
    <w:rsid w:val="00875D49"/>
    <w:rsid w:val="008760B0"/>
    <w:rsid w:val="00876343"/>
    <w:rsid w:val="008771A0"/>
    <w:rsid w:val="00883C5B"/>
    <w:rsid w:val="00885F5C"/>
    <w:rsid w:val="00892B49"/>
    <w:rsid w:val="008937F6"/>
    <w:rsid w:val="008A165B"/>
    <w:rsid w:val="008A686B"/>
    <w:rsid w:val="008A6F9D"/>
    <w:rsid w:val="008B188F"/>
    <w:rsid w:val="008B194A"/>
    <w:rsid w:val="008B19C5"/>
    <w:rsid w:val="008B5E38"/>
    <w:rsid w:val="008B6EDF"/>
    <w:rsid w:val="008B7243"/>
    <w:rsid w:val="008C03E8"/>
    <w:rsid w:val="008C0AC6"/>
    <w:rsid w:val="008C0C00"/>
    <w:rsid w:val="008C2118"/>
    <w:rsid w:val="008D166D"/>
    <w:rsid w:val="008D2CC4"/>
    <w:rsid w:val="008D52A2"/>
    <w:rsid w:val="008D6FE0"/>
    <w:rsid w:val="008D78FA"/>
    <w:rsid w:val="008E1289"/>
    <w:rsid w:val="008E2E9B"/>
    <w:rsid w:val="008E3539"/>
    <w:rsid w:val="008E3E83"/>
    <w:rsid w:val="008E7EC9"/>
    <w:rsid w:val="008F17C0"/>
    <w:rsid w:val="008F2DCB"/>
    <w:rsid w:val="008F5166"/>
    <w:rsid w:val="00904E46"/>
    <w:rsid w:val="00905209"/>
    <w:rsid w:val="0091244C"/>
    <w:rsid w:val="009127BD"/>
    <w:rsid w:val="00913787"/>
    <w:rsid w:val="0091630F"/>
    <w:rsid w:val="00921266"/>
    <w:rsid w:val="00924824"/>
    <w:rsid w:val="009328B7"/>
    <w:rsid w:val="00932C5C"/>
    <w:rsid w:val="00936C1F"/>
    <w:rsid w:val="009413DB"/>
    <w:rsid w:val="00947B93"/>
    <w:rsid w:val="009512D5"/>
    <w:rsid w:val="0096017F"/>
    <w:rsid w:val="00966532"/>
    <w:rsid w:val="009742DD"/>
    <w:rsid w:val="009778F1"/>
    <w:rsid w:val="00980A02"/>
    <w:rsid w:val="00980C83"/>
    <w:rsid w:val="00986B6B"/>
    <w:rsid w:val="009961A0"/>
    <w:rsid w:val="00996A15"/>
    <w:rsid w:val="00997284"/>
    <w:rsid w:val="00997AC5"/>
    <w:rsid w:val="009A177C"/>
    <w:rsid w:val="009A1BDF"/>
    <w:rsid w:val="009A38DD"/>
    <w:rsid w:val="009A5074"/>
    <w:rsid w:val="009A7B85"/>
    <w:rsid w:val="009B010C"/>
    <w:rsid w:val="009B0128"/>
    <w:rsid w:val="009B1957"/>
    <w:rsid w:val="009B591C"/>
    <w:rsid w:val="009C03B0"/>
    <w:rsid w:val="009C1A7E"/>
    <w:rsid w:val="009C4656"/>
    <w:rsid w:val="009C74FD"/>
    <w:rsid w:val="009C7FF7"/>
    <w:rsid w:val="009D60A3"/>
    <w:rsid w:val="009E08DE"/>
    <w:rsid w:val="009E2EDB"/>
    <w:rsid w:val="009E776B"/>
    <w:rsid w:val="009F282F"/>
    <w:rsid w:val="009F65AC"/>
    <w:rsid w:val="009F7539"/>
    <w:rsid w:val="00A0124A"/>
    <w:rsid w:val="00A02C47"/>
    <w:rsid w:val="00A0475F"/>
    <w:rsid w:val="00A125DD"/>
    <w:rsid w:val="00A13155"/>
    <w:rsid w:val="00A1790F"/>
    <w:rsid w:val="00A21BDA"/>
    <w:rsid w:val="00A24A8D"/>
    <w:rsid w:val="00A334F4"/>
    <w:rsid w:val="00A35A3A"/>
    <w:rsid w:val="00A37763"/>
    <w:rsid w:val="00A41788"/>
    <w:rsid w:val="00A469D2"/>
    <w:rsid w:val="00A547C7"/>
    <w:rsid w:val="00A7146D"/>
    <w:rsid w:val="00A721A8"/>
    <w:rsid w:val="00A83DBF"/>
    <w:rsid w:val="00A845E9"/>
    <w:rsid w:val="00A85AB6"/>
    <w:rsid w:val="00A96C1B"/>
    <w:rsid w:val="00AA1FD0"/>
    <w:rsid w:val="00AA26ED"/>
    <w:rsid w:val="00AB08B4"/>
    <w:rsid w:val="00AB0921"/>
    <w:rsid w:val="00AB0D73"/>
    <w:rsid w:val="00AB38A1"/>
    <w:rsid w:val="00AB7974"/>
    <w:rsid w:val="00AC0275"/>
    <w:rsid w:val="00AC12DC"/>
    <w:rsid w:val="00AC1594"/>
    <w:rsid w:val="00AC282C"/>
    <w:rsid w:val="00AC38DE"/>
    <w:rsid w:val="00AC454A"/>
    <w:rsid w:val="00AE2E8B"/>
    <w:rsid w:val="00AE344B"/>
    <w:rsid w:val="00AE3FCB"/>
    <w:rsid w:val="00AE4180"/>
    <w:rsid w:val="00AE7587"/>
    <w:rsid w:val="00AF027D"/>
    <w:rsid w:val="00AF0349"/>
    <w:rsid w:val="00AF1A21"/>
    <w:rsid w:val="00AF3951"/>
    <w:rsid w:val="00AF3EE1"/>
    <w:rsid w:val="00AF4390"/>
    <w:rsid w:val="00B16579"/>
    <w:rsid w:val="00B232D1"/>
    <w:rsid w:val="00B27AB5"/>
    <w:rsid w:val="00B31896"/>
    <w:rsid w:val="00B32ADC"/>
    <w:rsid w:val="00B37E51"/>
    <w:rsid w:val="00B431E5"/>
    <w:rsid w:val="00B43587"/>
    <w:rsid w:val="00B43F6D"/>
    <w:rsid w:val="00B44280"/>
    <w:rsid w:val="00B47060"/>
    <w:rsid w:val="00B552C3"/>
    <w:rsid w:val="00B556E3"/>
    <w:rsid w:val="00B5635D"/>
    <w:rsid w:val="00B569A0"/>
    <w:rsid w:val="00B57311"/>
    <w:rsid w:val="00B70696"/>
    <w:rsid w:val="00B718E7"/>
    <w:rsid w:val="00B73197"/>
    <w:rsid w:val="00B8077D"/>
    <w:rsid w:val="00B87030"/>
    <w:rsid w:val="00BA2517"/>
    <w:rsid w:val="00BA2A3B"/>
    <w:rsid w:val="00BA7A8F"/>
    <w:rsid w:val="00BB0D6B"/>
    <w:rsid w:val="00BC4278"/>
    <w:rsid w:val="00BC5593"/>
    <w:rsid w:val="00BC6D6D"/>
    <w:rsid w:val="00BD3274"/>
    <w:rsid w:val="00BD725A"/>
    <w:rsid w:val="00BE4FCD"/>
    <w:rsid w:val="00BE6D85"/>
    <w:rsid w:val="00BF5364"/>
    <w:rsid w:val="00C0157D"/>
    <w:rsid w:val="00C06BFD"/>
    <w:rsid w:val="00C07DFE"/>
    <w:rsid w:val="00C12C67"/>
    <w:rsid w:val="00C15E4B"/>
    <w:rsid w:val="00C32292"/>
    <w:rsid w:val="00C34524"/>
    <w:rsid w:val="00C35323"/>
    <w:rsid w:val="00C35496"/>
    <w:rsid w:val="00C35FDB"/>
    <w:rsid w:val="00C3760E"/>
    <w:rsid w:val="00C53EB6"/>
    <w:rsid w:val="00C54702"/>
    <w:rsid w:val="00C6453B"/>
    <w:rsid w:val="00C7299F"/>
    <w:rsid w:val="00C77C66"/>
    <w:rsid w:val="00C84AFB"/>
    <w:rsid w:val="00C84CAB"/>
    <w:rsid w:val="00C9253A"/>
    <w:rsid w:val="00CB53D4"/>
    <w:rsid w:val="00CB7E2B"/>
    <w:rsid w:val="00CC0173"/>
    <w:rsid w:val="00CC06EC"/>
    <w:rsid w:val="00CC0F3D"/>
    <w:rsid w:val="00CC2948"/>
    <w:rsid w:val="00CC35E0"/>
    <w:rsid w:val="00CC59C8"/>
    <w:rsid w:val="00CC6D4A"/>
    <w:rsid w:val="00CC721D"/>
    <w:rsid w:val="00CD34D4"/>
    <w:rsid w:val="00CD719A"/>
    <w:rsid w:val="00CE771C"/>
    <w:rsid w:val="00CF22A8"/>
    <w:rsid w:val="00CF257B"/>
    <w:rsid w:val="00D01EBC"/>
    <w:rsid w:val="00D04A72"/>
    <w:rsid w:val="00D05039"/>
    <w:rsid w:val="00D11796"/>
    <w:rsid w:val="00D1592C"/>
    <w:rsid w:val="00D17806"/>
    <w:rsid w:val="00D271CC"/>
    <w:rsid w:val="00D31D30"/>
    <w:rsid w:val="00D356C4"/>
    <w:rsid w:val="00D41813"/>
    <w:rsid w:val="00D46479"/>
    <w:rsid w:val="00D53834"/>
    <w:rsid w:val="00D5430B"/>
    <w:rsid w:val="00D554E5"/>
    <w:rsid w:val="00D7099B"/>
    <w:rsid w:val="00D80312"/>
    <w:rsid w:val="00D82B50"/>
    <w:rsid w:val="00D86117"/>
    <w:rsid w:val="00D873EE"/>
    <w:rsid w:val="00DA02DA"/>
    <w:rsid w:val="00DA1BB1"/>
    <w:rsid w:val="00DA4CBD"/>
    <w:rsid w:val="00DB1375"/>
    <w:rsid w:val="00DB2557"/>
    <w:rsid w:val="00DB4951"/>
    <w:rsid w:val="00DB769B"/>
    <w:rsid w:val="00DE2F26"/>
    <w:rsid w:val="00DE51A9"/>
    <w:rsid w:val="00DE65E3"/>
    <w:rsid w:val="00E01945"/>
    <w:rsid w:val="00E0730E"/>
    <w:rsid w:val="00E25F08"/>
    <w:rsid w:val="00E307FD"/>
    <w:rsid w:val="00E360A1"/>
    <w:rsid w:val="00E403C3"/>
    <w:rsid w:val="00E45235"/>
    <w:rsid w:val="00E46704"/>
    <w:rsid w:val="00E520EE"/>
    <w:rsid w:val="00E529F8"/>
    <w:rsid w:val="00E52DD1"/>
    <w:rsid w:val="00E5547D"/>
    <w:rsid w:val="00E56DB5"/>
    <w:rsid w:val="00E653E0"/>
    <w:rsid w:val="00E71EB8"/>
    <w:rsid w:val="00E769C8"/>
    <w:rsid w:val="00E76B9C"/>
    <w:rsid w:val="00E8274D"/>
    <w:rsid w:val="00E82CF7"/>
    <w:rsid w:val="00E8457D"/>
    <w:rsid w:val="00E921F4"/>
    <w:rsid w:val="00E9438E"/>
    <w:rsid w:val="00EA0C6C"/>
    <w:rsid w:val="00EA33C0"/>
    <w:rsid w:val="00EB3EB5"/>
    <w:rsid w:val="00EB4751"/>
    <w:rsid w:val="00EE2EA1"/>
    <w:rsid w:val="00EE596F"/>
    <w:rsid w:val="00EE64F8"/>
    <w:rsid w:val="00EF16B2"/>
    <w:rsid w:val="00EF5A84"/>
    <w:rsid w:val="00F04498"/>
    <w:rsid w:val="00F070B8"/>
    <w:rsid w:val="00F10163"/>
    <w:rsid w:val="00F1134D"/>
    <w:rsid w:val="00F11E60"/>
    <w:rsid w:val="00F17D62"/>
    <w:rsid w:val="00F30CA0"/>
    <w:rsid w:val="00F3560E"/>
    <w:rsid w:val="00F42549"/>
    <w:rsid w:val="00F46721"/>
    <w:rsid w:val="00F473E5"/>
    <w:rsid w:val="00F506E1"/>
    <w:rsid w:val="00F55E26"/>
    <w:rsid w:val="00F65472"/>
    <w:rsid w:val="00F729F4"/>
    <w:rsid w:val="00F74F11"/>
    <w:rsid w:val="00F763A5"/>
    <w:rsid w:val="00F83FB0"/>
    <w:rsid w:val="00F9232C"/>
    <w:rsid w:val="00F93F88"/>
    <w:rsid w:val="00F966C7"/>
    <w:rsid w:val="00F9688F"/>
    <w:rsid w:val="00F96EC9"/>
    <w:rsid w:val="00F97366"/>
    <w:rsid w:val="00F97AC8"/>
    <w:rsid w:val="00FA4B46"/>
    <w:rsid w:val="00FB252F"/>
    <w:rsid w:val="00FB7479"/>
    <w:rsid w:val="00FB771B"/>
    <w:rsid w:val="00FC5025"/>
    <w:rsid w:val="00FD029A"/>
    <w:rsid w:val="00FD404A"/>
    <w:rsid w:val="00FE1990"/>
    <w:rsid w:val="00FE701A"/>
    <w:rsid w:val="00FF5A14"/>
    <w:rsid w:val="010569BB"/>
    <w:rsid w:val="010975C0"/>
    <w:rsid w:val="01320784"/>
    <w:rsid w:val="013E2018"/>
    <w:rsid w:val="01891193"/>
    <w:rsid w:val="018F529B"/>
    <w:rsid w:val="01AC6F9A"/>
    <w:rsid w:val="01C47CF3"/>
    <w:rsid w:val="01C55775"/>
    <w:rsid w:val="01C631F6"/>
    <w:rsid w:val="01D71D7B"/>
    <w:rsid w:val="01FA494A"/>
    <w:rsid w:val="02003DDA"/>
    <w:rsid w:val="02256A93"/>
    <w:rsid w:val="022B3727"/>
    <w:rsid w:val="02316129"/>
    <w:rsid w:val="02335DA9"/>
    <w:rsid w:val="02515359"/>
    <w:rsid w:val="02567262"/>
    <w:rsid w:val="02643EF2"/>
    <w:rsid w:val="02A0095B"/>
    <w:rsid w:val="02A23E5E"/>
    <w:rsid w:val="02B5507D"/>
    <w:rsid w:val="02C67BA4"/>
    <w:rsid w:val="02FE1FF9"/>
    <w:rsid w:val="03065668"/>
    <w:rsid w:val="03230F34"/>
    <w:rsid w:val="0359140E"/>
    <w:rsid w:val="03724537"/>
    <w:rsid w:val="03D8775E"/>
    <w:rsid w:val="04210E57"/>
    <w:rsid w:val="04390A47"/>
    <w:rsid w:val="0441390A"/>
    <w:rsid w:val="04525DA3"/>
    <w:rsid w:val="046702C7"/>
    <w:rsid w:val="04BC3254"/>
    <w:rsid w:val="04C46E30"/>
    <w:rsid w:val="04E81A9D"/>
    <w:rsid w:val="04F74332"/>
    <w:rsid w:val="050F525C"/>
    <w:rsid w:val="05184867"/>
    <w:rsid w:val="052459A1"/>
    <w:rsid w:val="05320C94"/>
    <w:rsid w:val="056A0DEE"/>
    <w:rsid w:val="05BF1B7D"/>
    <w:rsid w:val="05C0008F"/>
    <w:rsid w:val="05E42CB6"/>
    <w:rsid w:val="05F11FCC"/>
    <w:rsid w:val="05F973D8"/>
    <w:rsid w:val="06316639"/>
    <w:rsid w:val="06680D11"/>
    <w:rsid w:val="068837C4"/>
    <w:rsid w:val="06971860"/>
    <w:rsid w:val="069E78D2"/>
    <w:rsid w:val="06AB4C7D"/>
    <w:rsid w:val="06BD621D"/>
    <w:rsid w:val="06BF4168"/>
    <w:rsid w:val="06C26280"/>
    <w:rsid w:val="06FD7006"/>
    <w:rsid w:val="0729554C"/>
    <w:rsid w:val="072F7455"/>
    <w:rsid w:val="07510C8F"/>
    <w:rsid w:val="077943D1"/>
    <w:rsid w:val="077E2A57"/>
    <w:rsid w:val="07B42F31"/>
    <w:rsid w:val="07C40FCD"/>
    <w:rsid w:val="07CB0958"/>
    <w:rsid w:val="081C745E"/>
    <w:rsid w:val="08200062"/>
    <w:rsid w:val="082276C9"/>
    <w:rsid w:val="08313B80"/>
    <w:rsid w:val="08337083"/>
    <w:rsid w:val="086B33D9"/>
    <w:rsid w:val="08747AEC"/>
    <w:rsid w:val="089F63B2"/>
    <w:rsid w:val="08E86BC5"/>
    <w:rsid w:val="090C0F64"/>
    <w:rsid w:val="091308EF"/>
    <w:rsid w:val="09230B8A"/>
    <w:rsid w:val="0930241E"/>
    <w:rsid w:val="0966767D"/>
    <w:rsid w:val="096A12FE"/>
    <w:rsid w:val="096D5B06"/>
    <w:rsid w:val="0971670A"/>
    <w:rsid w:val="097F5A20"/>
    <w:rsid w:val="09A2275D"/>
    <w:rsid w:val="09A84666"/>
    <w:rsid w:val="09B94900"/>
    <w:rsid w:val="09E9764E"/>
    <w:rsid w:val="09F0285C"/>
    <w:rsid w:val="0A2A768E"/>
    <w:rsid w:val="0A300AD6"/>
    <w:rsid w:val="0A45367D"/>
    <w:rsid w:val="0A503B7A"/>
    <w:rsid w:val="0A696CA3"/>
    <w:rsid w:val="0A6A4724"/>
    <w:rsid w:val="0A742AB5"/>
    <w:rsid w:val="0A750537"/>
    <w:rsid w:val="0A775FD5"/>
    <w:rsid w:val="0A960A6B"/>
    <w:rsid w:val="0AE61EF7"/>
    <w:rsid w:val="0AF8308E"/>
    <w:rsid w:val="0AFD7516"/>
    <w:rsid w:val="0B5B5331"/>
    <w:rsid w:val="0B673342"/>
    <w:rsid w:val="0B7C060F"/>
    <w:rsid w:val="0BC97B63"/>
    <w:rsid w:val="0BCF52F0"/>
    <w:rsid w:val="0BD229F1"/>
    <w:rsid w:val="0C3D3FF4"/>
    <w:rsid w:val="0C592F5E"/>
    <w:rsid w:val="0C5D4B54"/>
    <w:rsid w:val="0C647D62"/>
    <w:rsid w:val="0C6F3B75"/>
    <w:rsid w:val="0C824D94"/>
    <w:rsid w:val="0C9B7EBC"/>
    <w:rsid w:val="0CAC0156"/>
    <w:rsid w:val="0CD957A2"/>
    <w:rsid w:val="0D246B1B"/>
    <w:rsid w:val="0D2A42A8"/>
    <w:rsid w:val="0D2C77AB"/>
    <w:rsid w:val="0D3E2F48"/>
    <w:rsid w:val="0D40644B"/>
    <w:rsid w:val="0D4528D3"/>
    <w:rsid w:val="0D4D7CE0"/>
    <w:rsid w:val="0D7B1F9E"/>
    <w:rsid w:val="0DCD7334"/>
    <w:rsid w:val="0DD3343C"/>
    <w:rsid w:val="0DFD2082"/>
    <w:rsid w:val="0E19612F"/>
    <w:rsid w:val="0E2E4332"/>
    <w:rsid w:val="0E681731"/>
    <w:rsid w:val="0E7E38D5"/>
    <w:rsid w:val="0EBD0E3B"/>
    <w:rsid w:val="0ED07E5C"/>
    <w:rsid w:val="0EE73304"/>
    <w:rsid w:val="0F131F07"/>
    <w:rsid w:val="0F1727CE"/>
    <w:rsid w:val="0F486821"/>
    <w:rsid w:val="0F5229B3"/>
    <w:rsid w:val="0F733BB2"/>
    <w:rsid w:val="0F864107"/>
    <w:rsid w:val="0F995326"/>
    <w:rsid w:val="0FA15118"/>
    <w:rsid w:val="0FB107CE"/>
    <w:rsid w:val="0FB35ED0"/>
    <w:rsid w:val="0FC57D85"/>
    <w:rsid w:val="0FCE44FB"/>
    <w:rsid w:val="0FF67C3E"/>
    <w:rsid w:val="0FFB40C6"/>
    <w:rsid w:val="10213C41"/>
    <w:rsid w:val="10297193"/>
    <w:rsid w:val="104E60CE"/>
    <w:rsid w:val="106B567E"/>
    <w:rsid w:val="109D6F15"/>
    <w:rsid w:val="10AE3B69"/>
    <w:rsid w:val="10DD46B8"/>
    <w:rsid w:val="10E00EC0"/>
    <w:rsid w:val="10E243C3"/>
    <w:rsid w:val="10E93D4E"/>
    <w:rsid w:val="111A0C9A"/>
    <w:rsid w:val="114F36F3"/>
    <w:rsid w:val="11501174"/>
    <w:rsid w:val="11591A84"/>
    <w:rsid w:val="115A7505"/>
    <w:rsid w:val="116A55A1"/>
    <w:rsid w:val="11811943"/>
    <w:rsid w:val="11AC3A8C"/>
    <w:rsid w:val="11BD17A8"/>
    <w:rsid w:val="12131ED0"/>
    <w:rsid w:val="12180BBD"/>
    <w:rsid w:val="122733D6"/>
    <w:rsid w:val="129709B4"/>
    <w:rsid w:val="12C909E1"/>
    <w:rsid w:val="134B5AB7"/>
    <w:rsid w:val="1382549E"/>
    <w:rsid w:val="13BB37EC"/>
    <w:rsid w:val="13C30BF9"/>
    <w:rsid w:val="13CA1884"/>
    <w:rsid w:val="13DD17A2"/>
    <w:rsid w:val="13EA459B"/>
    <w:rsid w:val="13F83651"/>
    <w:rsid w:val="140F7FAB"/>
    <w:rsid w:val="14162C01"/>
    <w:rsid w:val="141B290C"/>
    <w:rsid w:val="143940BA"/>
    <w:rsid w:val="143A53BF"/>
    <w:rsid w:val="14563F45"/>
    <w:rsid w:val="14952B42"/>
    <w:rsid w:val="14981ED6"/>
    <w:rsid w:val="14BA370F"/>
    <w:rsid w:val="14E36AD2"/>
    <w:rsid w:val="14FE18FE"/>
    <w:rsid w:val="14FE50FD"/>
    <w:rsid w:val="15003E83"/>
    <w:rsid w:val="15037006"/>
    <w:rsid w:val="150D7916"/>
    <w:rsid w:val="151505A6"/>
    <w:rsid w:val="152817C5"/>
    <w:rsid w:val="15651629"/>
    <w:rsid w:val="1571763A"/>
    <w:rsid w:val="15732B3D"/>
    <w:rsid w:val="157B1F6E"/>
    <w:rsid w:val="1588725F"/>
    <w:rsid w:val="15B56279"/>
    <w:rsid w:val="15C060C7"/>
    <w:rsid w:val="15C47445"/>
    <w:rsid w:val="161F42DB"/>
    <w:rsid w:val="16265E64"/>
    <w:rsid w:val="16387403"/>
    <w:rsid w:val="1648769E"/>
    <w:rsid w:val="16516CA8"/>
    <w:rsid w:val="167D6873"/>
    <w:rsid w:val="167E20F6"/>
    <w:rsid w:val="167E7B78"/>
    <w:rsid w:val="16B212CB"/>
    <w:rsid w:val="16E704A1"/>
    <w:rsid w:val="16F220B5"/>
    <w:rsid w:val="170F0360"/>
    <w:rsid w:val="1716356E"/>
    <w:rsid w:val="1729478D"/>
    <w:rsid w:val="17627DEA"/>
    <w:rsid w:val="17650D6F"/>
    <w:rsid w:val="1780519C"/>
    <w:rsid w:val="178847A7"/>
    <w:rsid w:val="17AD27E8"/>
    <w:rsid w:val="17FD7FE9"/>
    <w:rsid w:val="1809187D"/>
    <w:rsid w:val="18232427"/>
    <w:rsid w:val="184F4570"/>
    <w:rsid w:val="18976F67"/>
    <w:rsid w:val="18B0330F"/>
    <w:rsid w:val="18DD095C"/>
    <w:rsid w:val="18F94A09"/>
    <w:rsid w:val="190455CA"/>
    <w:rsid w:val="190B2724"/>
    <w:rsid w:val="190E112B"/>
    <w:rsid w:val="1A19705E"/>
    <w:rsid w:val="1A1E34E6"/>
    <w:rsid w:val="1A2F4A85"/>
    <w:rsid w:val="1A501737"/>
    <w:rsid w:val="1A5171B8"/>
    <w:rsid w:val="1A5664B6"/>
    <w:rsid w:val="1A761976"/>
    <w:rsid w:val="1A772C7B"/>
    <w:rsid w:val="1A78348B"/>
    <w:rsid w:val="1AA8344A"/>
    <w:rsid w:val="1AB958E3"/>
    <w:rsid w:val="1ACB4904"/>
    <w:rsid w:val="1ACD7E07"/>
    <w:rsid w:val="1AF76A4D"/>
    <w:rsid w:val="1AFA1BD0"/>
    <w:rsid w:val="1AFE25BC"/>
    <w:rsid w:val="1B172802"/>
    <w:rsid w:val="1B423649"/>
    <w:rsid w:val="1B5776CB"/>
    <w:rsid w:val="1B607376"/>
    <w:rsid w:val="1B6E410D"/>
    <w:rsid w:val="1B764D9C"/>
    <w:rsid w:val="1B843D5A"/>
    <w:rsid w:val="1BB75806"/>
    <w:rsid w:val="1BBC054B"/>
    <w:rsid w:val="1BD54DB6"/>
    <w:rsid w:val="1BD85D3B"/>
    <w:rsid w:val="1BD9703F"/>
    <w:rsid w:val="1C0A3092"/>
    <w:rsid w:val="1C167AAF"/>
    <w:rsid w:val="1C1D682F"/>
    <w:rsid w:val="1C3A035E"/>
    <w:rsid w:val="1C466005"/>
    <w:rsid w:val="1C5F4D1A"/>
    <w:rsid w:val="1C93646E"/>
    <w:rsid w:val="1C976FB2"/>
    <w:rsid w:val="1D0609AB"/>
    <w:rsid w:val="1D07422E"/>
    <w:rsid w:val="1D5020A4"/>
    <w:rsid w:val="1D584EAC"/>
    <w:rsid w:val="1D6567C6"/>
    <w:rsid w:val="1D746DE1"/>
    <w:rsid w:val="1DB370D5"/>
    <w:rsid w:val="1DD05E75"/>
    <w:rsid w:val="1DD4487C"/>
    <w:rsid w:val="1E0E375C"/>
    <w:rsid w:val="1E112162"/>
    <w:rsid w:val="1E5828D6"/>
    <w:rsid w:val="1E6366E9"/>
    <w:rsid w:val="1E7C7613"/>
    <w:rsid w:val="1E9B20C6"/>
    <w:rsid w:val="1EA261CE"/>
    <w:rsid w:val="1EC55489"/>
    <w:rsid w:val="1ED86D4C"/>
    <w:rsid w:val="1EE537BF"/>
    <w:rsid w:val="1EEB273B"/>
    <w:rsid w:val="1EF736D9"/>
    <w:rsid w:val="1EF95283"/>
    <w:rsid w:val="1EFB7B61"/>
    <w:rsid w:val="1EFC297D"/>
    <w:rsid w:val="1F022D6F"/>
    <w:rsid w:val="1F46255F"/>
    <w:rsid w:val="1F62660C"/>
    <w:rsid w:val="1F826B41"/>
    <w:rsid w:val="1F9F6471"/>
    <w:rsid w:val="1FA75A7B"/>
    <w:rsid w:val="1FA86D80"/>
    <w:rsid w:val="1FAA6A00"/>
    <w:rsid w:val="1FB21E38"/>
    <w:rsid w:val="201A3FDE"/>
    <w:rsid w:val="20263DCB"/>
    <w:rsid w:val="20387569"/>
    <w:rsid w:val="204B2D06"/>
    <w:rsid w:val="204C400B"/>
    <w:rsid w:val="20510493"/>
    <w:rsid w:val="2072424B"/>
    <w:rsid w:val="20781906"/>
    <w:rsid w:val="208A18F1"/>
    <w:rsid w:val="209E0592"/>
    <w:rsid w:val="20A3249B"/>
    <w:rsid w:val="20C0647E"/>
    <w:rsid w:val="20D32FEA"/>
    <w:rsid w:val="20E60986"/>
    <w:rsid w:val="20F766A2"/>
    <w:rsid w:val="21194658"/>
    <w:rsid w:val="21471D75"/>
    <w:rsid w:val="21533539"/>
    <w:rsid w:val="21583244"/>
    <w:rsid w:val="219C4C32"/>
    <w:rsid w:val="21A1493D"/>
    <w:rsid w:val="21D63B12"/>
    <w:rsid w:val="21F1213D"/>
    <w:rsid w:val="22244596"/>
    <w:rsid w:val="224927CC"/>
    <w:rsid w:val="227B42A0"/>
    <w:rsid w:val="22A83E6A"/>
    <w:rsid w:val="22BB5089"/>
    <w:rsid w:val="22BE600E"/>
    <w:rsid w:val="22D1722D"/>
    <w:rsid w:val="22D97EBC"/>
    <w:rsid w:val="22DD303F"/>
    <w:rsid w:val="230B610D"/>
    <w:rsid w:val="231A50A3"/>
    <w:rsid w:val="231D36DD"/>
    <w:rsid w:val="232059B9"/>
    <w:rsid w:val="23287C3C"/>
    <w:rsid w:val="23554AEF"/>
    <w:rsid w:val="23562D09"/>
    <w:rsid w:val="23620D1A"/>
    <w:rsid w:val="23711335"/>
    <w:rsid w:val="23857FD5"/>
    <w:rsid w:val="23A9148E"/>
    <w:rsid w:val="2413693F"/>
    <w:rsid w:val="24240DD8"/>
    <w:rsid w:val="244B3216"/>
    <w:rsid w:val="24990D97"/>
    <w:rsid w:val="24D37C77"/>
    <w:rsid w:val="24F414B1"/>
    <w:rsid w:val="24FF3177"/>
    <w:rsid w:val="2507454D"/>
    <w:rsid w:val="250A5BD3"/>
    <w:rsid w:val="254002AB"/>
    <w:rsid w:val="256571E6"/>
    <w:rsid w:val="256F5577"/>
    <w:rsid w:val="25AB795A"/>
    <w:rsid w:val="25AE66E1"/>
    <w:rsid w:val="25BD5676"/>
    <w:rsid w:val="25C84D0C"/>
    <w:rsid w:val="25FD3EE1"/>
    <w:rsid w:val="260006E9"/>
    <w:rsid w:val="26020369"/>
    <w:rsid w:val="2604386C"/>
    <w:rsid w:val="264F6850"/>
    <w:rsid w:val="26651E1C"/>
    <w:rsid w:val="26675B0F"/>
    <w:rsid w:val="268F1252"/>
    <w:rsid w:val="269221D6"/>
    <w:rsid w:val="2697085D"/>
    <w:rsid w:val="2697665E"/>
    <w:rsid w:val="26A54C67"/>
    <w:rsid w:val="26B80C9A"/>
    <w:rsid w:val="26DD354F"/>
    <w:rsid w:val="26DE4854"/>
    <w:rsid w:val="26DF22D6"/>
    <w:rsid w:val="273B136A"/>
    <w:rsid w:val="278E3373"/>
    <w:rsid w:val="27A06B10"/>
    <w:rsid w:val="27A5681B"/>
    <w:rsid w:val="27A9199E"/>
    <w:rsid w:val="27BE1944"/>
    <w:rsid w:val="27E60C0B"/>
    <w:rsid w:val="27EB5C8B"/>
    <w:rsid w:val="280E7144"/>
    <w:rsid w:val="28362887"/>
    <w:rsid w:val="284D24AC"/>
    <w:rsid w:val="28503431"/>
    <w:rsid w:val="28562DBC"/>
    <w:rsid w:val="287171E9"/>
    <w:rsid w:val="287A7AF8"/>
    <w:rsid w:val="28E41726"/>
    <w:rsid w:val="290C15E6"/>
    <w:rsid w:val="291134EF"/>
    <w:rsid w:val="29A11AD9"/>
    <w:rsid w:val="29E61678"/>
    <w:rsid w:val="2A1862A0"/>
    <w:rsid w:val="2A2158AB"/>
    <w:rsid w:val="2A2777B4"/>
    <w:rsid w:val="2A390639"/>
    <w:rsid w:val="2A4D5475"/>
    <w:rsid w:val="2A652B1C"/>
    <w:rsid w:val="2A781B3D"/>
    <w:rsid w:val="2A7C0543"/>
    <w:rsid w:val="2A8C3625"/>
    <w:rsid w:val="2A8E045D"/>
    <w:rsid w:val="2A941B30"/>
    <w:rsid w:val="2AD82E5B"/>
    <w:rsid w:val="2AE15CE9"/>
    <w:rsid w:val="2B023C9F"/>
    <w:rsid w:val="2B15163B"/>
    <w:rsid w:val="2B161BD2"/>
    <w:rsid w:val="2B2250C2"/>
    <w:rsid w:val="2B347CF1"/>
    <w:rsid w:val="2B6C2049"/>
    <w:rsid w:val="2B9B2B99"/>
    <w:rsid w:val="2BA95732"/>
    <w:rsid w:val="2BB97F4A"/>
    <w:rsid w:val="2BDC5B80"/>
    <w:rsid w:val="2BDE45FF"/>
    <w:rsid w:val="2C06004A"/>
    <w:rsid w:val="2C06445D"/>
    <w:rsid w:val="2C252AFD"/>
    <w:rsid w:val="2C271FB0"/>
    <w:rsid w:val="2C416BAA"/>
    <w:rsid w:val="2C4442AB"/>
    <w:rsid w:val="2C486535"/>
    <w:rsid w:val="2C5867CF"/>
    <w:rsid w:val="2C696A69"/>
    <w:rsid w:val="2C6E0973"/>
    <w:rsid w:val="2C734DFA"/>
    <w:rsid w:val="2C9A7238"/>
    <w:rsid w:val="2C9D01BD"/>
    <w:rsid w:val="2CB126E1"/>
    <w:rsid w:val="2D0423D2"/>
    <w:rsid w:val="2D160F26"/>
    <w:rsid w:val="2D2A09B7"/>
    <w:rsid w:val="2D2E332F"/>
    <w:rsid w:val="2D5A7B2B"/>
    <w:rsid w:val="2D5F5CFD"/>
    <w:rsid w:val="2D994BDD"/>
    <w:rsid w:val="2D9A5EE2"/>
    <w:rsid w:val="2D9F6AE6"/>
    <w:rsid w:val="2DA27A6B"/>
    <w:rsid w:val="2DA873F6"/>
    <w:rsid w:val="2DBF2928"/>
    <w:rsid w:val="2DDC694B"/>
    <w:rsid w:val="2E016B8B"/>
    <w:rsid w:val="2E0B749A"/>
    <w:rsid w:val="2E2A44CC"/>
    <w:rsid w:val="2E2B3F9F"/>
    <w:rsid w:val="2E4270DC"/>
    <w:rsid w:val="2E475FFA"/>
    <w:rsid w:val="2E5D3029"/>
    <w:rsid w:val="2E601123"/>
    <w:rsid w:val="2ECD7558"/>
    <w:rsid w:val="2ED25BDE"/>
    <w:rsid w:val="2ED4300B"/>
    <w:rsid w:val="2EDA686E"/>
    <w:rsid w:val="2F4A23A5"/>
    <w:rsid w:val="2F806FFC"/>
    <w:rsid w:val="2F9E402D"/>
    <w:rsid w:val="2FB47769"/>
    <w:rsid w:val="2FBE7946"/>
    <w:rsid w:val="2FF005B4"/>
    <w:rsid w:val="300140D2"/>
    <w:rsid w:val="303F5B52"/>
    <w:rsid w:val="30405DB5"/>
    <w:rsid w:val="30646375"/>
    <w:rsid w:val="306E0E83"/>
    <w:rsid w:val="306E6C84"/>
    <w:rsid w:val="308220A2"/>
    <w:rsid w:val="30A04ED5"/>
    <w:rsid w:val="30B74AFA"/>
    <w:rsid w:val="30DA3DB5"/>
    <w:rsid w:val="30E42146"/>
    <w:rsid w:val="310C2006"/>
    <w:rsid w:val="310E7707"/>
    <w:rsid w:val="311922B0"/>
    <w:rsid w:val="31200CA6"/>
    <w:rsid w:val="312923BE"/>
    <w:rsid w:val="31381BD0"/>
    <w:rsid w:val="316E6827"/>
    <w:rsid w:val="318D0B83"/>
    <w:rsid w:val="319F2879"/>
    <w:rsid w:val="31AF7290"/>
    <w:rsid w:val="31B20215"/>
    <w:rsid w:val="31BA5621"/>
    <w:rsid w:val="31DA3958"/>
    <w:rsid w:val="31F1357D"/>
    <w:rsid w:val="320266E5"/>
    <w:rsid w:val="320A705C"/>
    <w:rsid w:val="323507EE"/>
    <w:rsid w:val="32630039"/>
    <w:rsid w:val="32BD19CC"/>
    <w:rsid w:val="32C722DC"/>
    <w:rsid w:val="32D1066D"/>
    <w:rsid w:val="32DE5784"/>
    <w:rsid w:val="32E47929"/>
    <w:rsid w:val="330865C8"/>
    <w:rsid w:val="330B3CCA"/>
    <w:rsid w:val="330D2A50"/>
    <w:rsid w:val="332C3305"/>
    <w:rsid w:val="332E2F85"/>
    <w:rsid w:val="3333740C"/>
    <w:rsid w:val="334B0336"/>
    <w:rsid w:val="337820FF"/>
    <w:rsid w:val="33C40EFA"/>
    <w:rsid w:val="33C65B63"/>
    <w:rsid w:val="33D87B9A"/>
    <w:rsid w:val="33E32E64"/>
    <w:rsid w:val="33F47ECB"/>
    <w:rsid w:val="34093166"/>
    <w:rsid w:val="341579FF"/>
    <w:rsid w:val="342D0929"/>
    <w:rsid w:val="343659B5"/>
    <w:rsid w:val="34455FD0"/>
    <w:rsid w:val="344A2458"/>
    <w:rsid w:val="346F54A4"/>
    <w:rsid w:val="347C06A8"/>
    <w:rsid w:val="34984755"/>
    <w:rsid w:val="34A30568"/>
    <w:rsid w:val="34E46DD3"/>
    <w:rsid w:val="34E96ADE"/>
    <w:rsid w:val="34F85173"/>
    <w:rsid w:val="34F934F5"/>
    <w:rsid w:val="34FB227B"/>
    <w:rsid w:val="356B1A9D"/>
    <w:rsid w:val="35717CBC"/>
    <w:rsid w:val="35771BC5"/>
    <w:rsid w:val="359549F8"/>
    <w:rsid w:val="35A62714"/>
    <w:rsid w:val="35B23FA8"/>
    <w:rsid w:val="35BF1FB9"/>
    <w:rsid w:val="36063A32"/>
    <w:rsid w:val="36127845"/>
    <w:rsid w:val="363A5186"/>
    <w:rsid w:val="36767569"/>
    <w:rsid w:val="3696201C"/>
    <w:rsid w:val="36B02BC6"/>
    <w:rsid w:val="36F90814"/>
    <w:rsid w:val="37445638"/>
    <w:rsid w:val="37691FF5"/>
    <w:rsid w:val="378A5DAD"/>
    <w:rsid w:val="37C06287"/>
    <w:rsid w:val="37D72629"/>
    <w:rsid w:val="37FC066A"/>
    <w:rsid w:val="3810730B"/>
    <w:rsid w:val="38234CA6"/>
    <w:rsid w:val="38432FDD"/>
    <w:rsid w:val="385C5D8D"/>
    <w:rsid w:val="3862000E"/>
    <w:rsid w:val="38A85780"/>
    <w:rsid w:val="38B144A1"/>
    <w:rsid w:val="38BB3F20"/>
    <w:rsid w:val="38E52A39"/>
    <w:rsid w:val="38EC7F72"/>
    <w:rsid w:val="38ED2171"/>
    <w:rsid w:val="38F27BDF"/>
    <w:rsid w:val="38F913A2"/>
    <w:rsid w:val="39106EAD"/>
    <w:rsid w:val="39224BC9"/>
    <w:rsid w:val="392A7A57"/>
    <w:rsid w:val="39427F1B"/>
    <w:rsid w:val="39471586"/>
    <w:rsid w:val="39494A89"/>
    <w:rsid w:val="3952319A"/>
    <w:rsid w:val="396B2A3F"/>
    <w:rsid w:val="3987236F"/>
    <w:rsid w:val="399B1BA0"/>
    <w:rsid w:val="39BC1544"/>
    <w:rsid w:val="39D3116A"/>
    <w:rsid w:val="39E42709"/>
    <w:rsid w:val="39F01D9F"/>
    <w:rsid w:val="39F21A1E"/>
    <w:rsid w:val="3A0D38CD"/>
    <w:rsid w:val="3A104852"/>
    <w:rsid w:val="3A29797A"/>
    <w:rsid w:val="3A313E23"/>
    <w:rsid w:val="3A895415"/>
    <w:rsid w:val="3A8C21FC"/>
    <w:rsid w:val="3A8D3E1B"/>
    <w:rsid w:val="3A977FAE"/>
    <w:rsid w:val="3A9E53BA"/>
    <w:rsid w:val="3AB265D9"/>
    <w:rsid w:val="3AD33AB3"/>
    <w:rsid w:val="3ADA3168"/>
    <w:rsid w:val="3AE85519"/>
    <w:rsid w:val="3AEC2F3B"/>
    <w:rsid w:val="3AEF063D"/>
    <w:rsid w:val="3AFD31D5"/>
    <w:rsid w:val="3B261E1B"/>
    <w:rsid w:val="3B3573C0"/>
    <w:rsid w:val="3B3C073C"/>
    <w:rsid w:val="3B407142"/>
    <w:rsid w:val="3B5612E6"/>
    <w:rsid w:val="3B59226A"/>
    <w:rsid w:val="3B7B298C"/>
    <w:rsid w:val="3B881D0F"/>
    <w:rsid w:val="3B9733D4"/>
    <w:rsid w:val="3BC64E1D"/>
    <w:rsid w:val="3BF5376E"/>
    <w:rsid w:val="3C184C27"/>
    <w:rsid w:val="3C2506B9"/>
    <w:rsid w:val="3C3663D5"/>
    <w:rsid w:val="3C6472A5"/>
    <w:rsid w:val="3C9A3EFB"/>
    <w:rsid w:val="3CD60E7B"/>
    <w:rsid w:val="3CE66579"/>
    <w:rsid w:val="3D4B049C"/>
    <w:rsid w:val="3D4E165D"/>
    <w:rsid w:val="3D764B63"/>
    <w:rsid w:val="3D7725E5"/>
    <w:rsid w:val="3D7C44EE"/>
    <w:rsid w:val="3D9B1520"/>
    <w:rsid w:val="3DA90835"/>
    <w:rsid w:val="3DC448E2"/>
    <w:rsid w:val="3DC832E8"/>
    <w:rsid w:val="3DE8161F"/>
    <w:rsid w:val="3DEA6D00"/>
    <w:rsid w:val="3DEE759F"/>
    <w:rsid w:val="3E0C2AD8"/>
    <w:rsid w:val="3E135CE6"/>
    <w:rsid w:val="3E446852"/>
    <w:rsid w:val="3E6D50FB"/>
    <w:rsid w:val="3E733781"/>
    <w:rsid w:val="3E9165B5"/>
    <w:rsid w:val="3E9704BE"/>
    <w:rsid w:val="3E9974E4"/>
    <w:rsid w:val="3EBC4E7A"/>
    <w:rsid w:val="3EDA7CAE"/>
    <w:rsid w:val="3EEB7F48"/>
    <w:rsid w:val="3EF065CE"/>
    <w:rsid w:val="3F063FF5"/>
    <w:rsid w:val="3F9B2F92"/>
    <w:rsid w:val="3FA54DF8"/>
    <w:rsid w:val="3FB3410E"/>
    <w:rsid w:val="3FD47EC6"/>
    <w:rsid w:val="3FD91DCF"/>
    <w:rsid w:val="3FE326DE"/>
    <w:rsid w:val="3FF90105"/>
    <w:rsid w:val="40093EB5"/>
    <w:rsid w:val="401F4AC2"/>
    <w:rsid w:val="402B6356"/>
    <w:rsid w:val="404C539D"/>
    <w:rsid w:val="4073674A"/>
    <w:rsid w:val="408F72A1"/>
    <w:rsid w:val="40C21D4C"/>
    <w:rsid w:val="40D048E5"/>
    <w:rsid w:val="40DF167D"/>
    <w:rsid w:val="40E70C87"/>
    <w:rsid w:val="40F51626"/>
    <w:rsid w:val="41205969"/>
    <w:rsid w:val="4141261B"/>
    <w:rsid w:val="41441021"/>
    <w:rsid w:val="41487A27"/>
    <w:rsid w:val="41803404"/>
    <w:rsid w:val="41986C6D"/>
    <w:rsid w:val="419F6289"/>
    <w:rsid w:val="41BA21D5"/>
    <w:rsid w:val="421E153C"/>
    <w:rsid w:val="421E6786"/>
    <w:rsid w:val="42351C2E"/>
    <w:rsid w:val="423A60B6"/>
    <w:rsid w:val="42500259"/>
    <w:rsid w:val="42586B9E"/>
    <w:rsid w:val="425F4FF1"/>
    <w:rsid w:val="42601A81"/>
    <w:rsid w:val="42737515"/>
    <w:rsid w:val="42764C16"/>
    <w:rsid w:val="429554CB"/>
    <w:rsid w:val="42994958"/>
    <w:rsid w:val="42A46591"/>
    <w:rsid w:val="42A9416B"/>
    <w:rsid w:val="42F20DCB"/>
    <w:rsid w:val="42F71CEC"/>
    <w:rsid w:val="430B1240"/>
    <w:rsid w:val="430D3E90"/>
    <w:rsid w:val="433F5964"/>
    <w:rsid w:val="434033E5"/>
    <w:rsid w:val="435D1690"/>
    <w:rsid w:val="439E7EB7"/>
    <w:rsid w:val="439F33FF"/>
    <w:rsid w:val="43BD29AF"/>
    <w:rsid w:val="43C732BE"/>
    <w:rsid w:val="43E01C6A"/>
    <w:rsid w:val="43E06D85"/>
    <w:rsid w:val="43EF2284"/>
    <w:rsid w:val="440B6331"/>
    <w:rsid w:val="441355D2"/>
    <w:rsid w:val="445E2538"/>
    <w:rsid w:val="447C21D5"/>
    <w:rsid w:val="44A21D28"/>
    <w:rsid w:val="44A36F5A"/>
    <w:rsid w:val="44C04B5B"/>
    <w:rsid w:val="44CA3141"/>
    <w:rsid w:val="45543D4A"/>
    <w:rsid w:val="455F595E"/>
    <w:rsid w:val="45817197"/>
    <w:rsid w:val="458B103A"/>
    <w:rsid w:val="45A5284F"/>
    <w:rsid w:val="45AA4758"/>
    <w:rsid w:val="45BF33F9"/>
    <w:rsid w:val="45C046FE"/>
    <w:rsid w:val="45C9758C"/>
    <w:rsid w:val="45FA7D5B"/>
    <w:rsid w:val="460B5A77"/>
    <w:rsid w:val="46706AA0"/>
    <w:rsid w:val="46761D34"/>
    <w:rsid w:val="46841EBD"/>
    <w:rsid w:val="468531C2"/>
    <w:rsid w:val="46C04A60"/>
    <w:rsid w:val="46D92C4C"/>
    <w:rsid w:val="46F31C44"/>
    <w:rsid w:val="476837B5"/>
    <w:rsid w:val="47691236"/>
    <w:rsid w:val="47A33674"/>
    <w:rsid w:val="47CB5A57"/>
    <w:rsid w:val="47D63DE9"/>
    <w:rsid w:val="47EA7812"/>
    <w:rsid w:val="482D2279"/>
    <w:rsid w:val="48405A16"/>
    <w:rsid w:val="48492EDB"/>
    <w:rsid w:val="48536C35"/>
    <w:rsid w:val="486758D6"/>
    <w:rsid w:val="48885E0A"/>
    <w:rsid w:val="48927A1F"/>
    <w:rsid w:val="48D82712"/>
    <w:rsid w:val="48E155A0"/>
    <w:rsid w:val="490D18E7"/>
    <w:rsid w:val="492F531F"/>
    <w:rsid w:val="494055B9"/>
    <w:rsid w:val="498E69BD"/>
    <w:rsid w:val="49917942"/>
    <w:rsid w:val="49963DC9"/>
    <w:rsid w:val="499C3754"/>
    <w:rsid w:val="499E6C57"/>
    <w:rsid w:val="49AF10F0"/>
    <w:rsid w:val="49BE7591"/>
    <w:rsid w:val="4A0333C5"/>
    <w:rsid w:val="4A0A3D88"/>
    <w:rsid w:val="4A256B30"/>
    <w:rsid w:val="4A2861F7"/>
    <w:rsid w:val="4A295537"/>
    <w:rsid w:val="4A323C48"/>
    <w:rsid w:val="4A6F2395"/>
    <w:rsid w:val="4A742133"/>
    <w:rsid w:val="4AAF6A94"/>
    <w:rsid w:val="4ADF5118"/>
    <w:rsid w:val="4AEE787E"/>
    <w:rsid w:val="4AF65903"/>
    <w:rsid w:val="4B2B3E60"/>
    <w:rsid w:val="4B745559"/>
    <w:rsid w:val="4B804BEF"/>
    <w:rsid w:val="4B8E4C6E"/>
    <w:rsid w:val="4B9D671D"/>
    <w:rsid w:val="4B9E411A"/>
    <w:rsid w:val="4BB20330"/>
    <w:rsid w:val="4BC4555C"/>
    <w:rsid w:val="4BDB73CE"/>
    <w:rsid w:val="4BEB0A1B"/>
    <w:rsid w:val="4BF4132A"/>
    <w:rsid w:val="4C272DFE"/>
    <w:rsid w:val="4C2904FF"/>
    <w:rsid w:val="4C2A1804"/>
    <w:rsid w:val="4C2B16B2"/>
    <w:rsid w:val="4C4B1D39"/>
    <w:rsid w:val="4C552648"/>
    <w:rsid w:val="4C5A4552"/>
    <w:rsid w:val="4C8E5CA5"/>
    <w:rsid w:val="4CA45C4B"/>
    <w:rsid w:val="4CB02CCD"/>
    <w:rsid w:val="4CB26265"/>
    <w:rsid w:val="4CB41768"/>
    <w:rsid w:val="4CBC32F1"/>
    <w:rsid w:val="4CBF7AF9"/>
    <w:rsid w:val="4CE36A34"/>
    <w:rsid w:val="4CEE1542"/>
    <w:rsid w:val="4D06246C"/>
    <w:rsid w:val="4D1C122D"/>
    <w:rsid w:val="4D764DF5"/>
    <w:rsid w:val="4D917E52"/>
    <w:rsid w:val="4DF82FB8"/>
    <w:rsid w:val="4DF9657C"/>
    <w:rsid w:val="4E091525"/>
    <w:rsid w:val="4E6332C9"/>
    <w:rsid w:val="4E7E09D4"/>
    <w:rsid w:val="4E801CD9"/>
    <w:rsid w:val="4E834E5B"/>
    <w:rsid w:val="4EEF5810"/>
    <w:rsid w:val="4EFE25A7"/>
    <w:rsid w:val="4F051F32"/>
    <w:rsid w:val="4F170F52"/>
    <w:rsid w:val="4F2F1620"/>
    <w:rsid w:val="4F3E0E12"/>
    <w:rsid w:val="4F4A13A1"/>
    <w:rsid w:val="4F711F6A"/>
    <w:rsid w:val="4F78446F"/>
    <w:rsid w:val="4F7E6378"/>
    <w:rsid w:val="4F9D6C2D"/>
    <w:rsid w:val="4FA71C3F"/>
    <w:rsid w:val="4FAB0141"/>
    <w:rsid w:val="4FAE4949"/>
    <w:rsid w:val="500B7261"/>
    <w:rsid w:val="5027550C"/>
    <w:rsid w:val="502E071A"/>
    <w:rsid w:val="50327120"/>
    <w:rsid w:val="504E31CD"/>
    <w:rsid w:val="505179D5"/>
    <w:rsid w:val="50640BF4"/>
    <w:rsid w:val="506F6F85"/>
    <w:rsid w:val="50766910"/>
    <w:rsid w:val="50847E24"/>
    <w:rsid w:val="508942AC"/>
    <w:rsid w:val="508C2CB2"/>
    <w:rsid w:val="509513C3"/>
    <w:rsid w:val="50AB1369"/>
    <w:rsid w:val="50B079EF"/>
    <w:rsid w:val="50CE2822"/>
    <w:rsid w:val="50DB3F55"/>
    <w:rsid w:val="50DD75B9"/>
    <w:rsid w:val="50DF2ABC"/>
    <w:rsid w:val="50F3175D"/>
    <w:rsid w:val="50F648E0"/>
    <w:rsid w:val="50F93666"/>
    <w:rsid w:val="51291C37"/>
    <w:rsid w:val="514135E6"/>
    <w:rsid w:val="514733E5"/>
    <w:rsid w:val="51583680"/>
    <w:rsid w:val="515A2406"/>
    <w:rsid w:val="515C7B07"/>
    <w:rsid w:val="5197226B"/>
    <w:rsid w:val="51C904BB"/>
    <w:rsid w:val="51D51D50"/>
    <w:rsid w:val="52065DA2"/>
    <w:rsid w:val="521A6BBB"/>
    <w:rsid w:val="521A6FC1"/>
    <w:rsid w:val="52257550"/>
    <w:rsid w:val="523A74F6"/>
    <w:rsid w:val="524B7790"/>
    <w:rsid w:val="524D2C93"/>
    <w:rsid w:val="526770C0"/>
    <w:rsid w:val="529C6295"/>
    <w:rsid w:val="52AC6530"/>
    <w:rsid w:val="52E03507"/>
    <w:rsid w:val="530F4056"/>
    <w:rsid w:val="5347092C"/>
    <w:rsid w:val="537036FD"/>
    <w:rsid w:val="538C361F"/>
    <w:rsid w:val="539D713D"/>
    <w:rsid w:val="53BE7672"/>
    <w:rsid w:val="53DF342A"/>
    <w:rsid w:val="53E00EAB"/>
    <w:rsid w:val="54047DE6"/>
    <w:rsid w:val="54113878"/>
    <w:rsid w:val="544256CC"/>
    <w:rsid w:val="54473D53"/>
    <w:rsid w:val="5476101E"/>
    <w:rsid w:val="54834E17"/>
    <w:rsid w:val="54840334"/>
    <w:rsid w:val="54B96610"/>
    <w:rsid w:val="54D7233D"/>
    <w:rsid w:val="54D95840"/>
    <w:rsid w:val="54E164CF"/>
    <w:rsid w:val="55126C9E"/>
    <w:rsid w:val="55145A25"/>
    <w:rsid w:val="552E31B7"/>
    <w:rsid w:val="555C4B46"/>
    <w:rsid w:val="557312C2"/>
    <w:rsid w:val="557B66CE"/>
    <w:rsid w:val="559C4684"/>
    <w:rsid w:val="55C44544"/>
    <w:rsid w:val="55D36D5C"/>
    <w:rsid w:val="55F0410E"/>
    <w:rsid w:val="55FE3424"/>
    <w:rsid w:val="55FE5622"/>
    <w:rsid w:val="566F245E"/>
    <w:rsid w:val="56856B80"/>
    <w:rsid w:val="5697479B"/>
    <w:rsid w:val="56A106AF"/>
    <w:rsid w:val="56C51B68"/>
    <w:rsid w:val="56C553EB"/>
    <w:rsid w:val="56D57C04"/>
    <w:rsid w:val="56D67884"/>
    <w:rsid w:val="57545F54"/>
    <w:rsid w:val="575539D5"/>
    <w:rsid w:val="576B5B79"/>
    <w:rsid w:val="577B3F4D"/>
    <w:rsid w:val="577B5E13"/>
    <w:rsid w:val="57833220"/>
    <w:rsid w:val="57990C47"/>
    <w:rsid w:val="57A411D6"/>
    <w:rsid w:val="57C85F13"/>
    <w:rsid w:val="57D8072B"/>
    <w:rsid w:val="57FD3E2B"/>
    <w:rsid w:val="580F0885"/>
    <w:rsid w:val="581408D2"/>
    <w:rsid w:val="582165A1"/>
    <w:rsid w:val="58297231"/>
    <w:rsid w:val="58350AC5"/>
    <w:rsid w:val="583D5ED1"/>
    <w:rsid w:val="585C0985"/>
    <w:rsid w:val="5887487A"/>
    <w:rsid w:val="588A5FD1"/>
    <w:rsid w:val="58A545FC"/>
    <w:rsid w:val="58A73382"/>
    <w:rsid w:val="58B31393"/>
    <w:rsid w:val="58EF652E"/>
    <w:rsid w:val="5918493B"/>
    <w:rsid w:val="591935E3"/>
    <w:rsid w:val="593A0373"/>
    <w:rsid w:val="5970084D"/>
    <w:rsid w:val="598861C8"/>
    <w:rsid w:val="59A4671D"/>
    <w:rsid w:val="59CC1E60"/>
    <w:rsid w:val="59E11E05"/>
    <w:rsid w:val="5A234A6D"/>
    <w:rsid w:val="5A301B84"/>
    <w:rsid w:val="5A3B5997"/>
    <w:rsid w:val="5A432DA3"/>
    <w:rsid w:val="5A4D6F36"/>
    <w:rsid w:val="5A6E1669"/>
    <w:rsid w:val="5A9418A9"/>
    <w:rsid w:val="5AA41B43"/>
    <w:rsid w:val="5AAD0254"/>
    <w:rsid w:val="5AB011D9"/>
    <w:rsid w:val="5AD2718F"/>
    <w:rsid w:val="5AD50114"/>
    <w:rsid w:val="5AE90FB3"/>
    <w:rsid w:val="5B1530FC"/>
    <w:rsid w:val="5B1B0888"/>
    <w:rsid w:val="5B1E5F8A"/>
    <w:rsid w:val="5B49484F"/>
    <w:rsid w:val="5B584E6A"/>
    <w:rsid w:val="5BCF5DAD"/>
    <w:rsid w:val="5BD731BA"/>
    <w:rsid w:val="5BF714F0"/>
    <w:rsid w:val="5BFC33FA"/>
    <w:rsid w:val="5C0D3F36"/>
    <w:rsid w:val="5C127B1C"/>
    <w:rsid w:val="5C27423E"/>
    <w:rsid w:val="5C366A56"/>
    <w:rsid w:val="5C41066B"/>
    <w:rsid w:val="5C464AF3"/>
    <w:rsid w:val="5CAC1F18"/>
    <w:rsid w:val="5CB5062A"/>
    <w:rsid w:val="5CD57859"/>
    <w:rsid w:val="5CD652DB"/>
    <w:rsid w:val="5CDE5F6B"/>
    <w:rsid w:val="5D8344FA"/>
    <w:rsid w:val="5DA930B5"/>
    <w:rsid w:val="5DAC78BD"/>
    <w:rsid w:val="5DB72F61"/>
    <w:rsid w:val="5DC97E04"/>
    <w:rsid w:val="5DDD008C"/>
    <w:rsid w:val="5DDD390F"/>
    <w:rsid w:val="5DF012AB"/>
    <w:rsid w:val="5DF744B9"/>
    <w:rsid w:val="5E556A51"/>
    <w:rsid w:val="5E5C63DC"/>
    <w:rsid w:val="5E5D76E0"/>
    <w:rsid w:val="5E747306"/>
    <w:rsid w:val="5E82661B"/>
    <w:rsid w:val="5EBF067F"/>
    <w:rsid w:val="5EC4038A"/>
    <w:rsid w:val="5ED752A6"/>
    <w:rsid w:val="5EDB7FAF"/>
    <w:rsid w:val="5EE508BE"/>
    <w:rsid w:val="5EF231C3"/>
    <w:rsid w:val="5F1E2FCC"/>
    <w:rsid w:val="5F261328"/>
    <w:rsid w:val="5F28262C"/>
    <w:rsid w:val="5F405755"/>
    <w:rsid w:val="5F51216C"/>
    <w:rsid w:val="5F5C1802"/>
    <w:rsid w:val="5F75492A"/>
    <w:rsid w:val="5F7D1D36"/>
    <w:rsid w:val="5FA770D9"/>
    <w:rsid w:val="5FBB761D"/>
    <w:rsid w:val="5FC24A29"/>
    <w:rsid w:val="5FFA4B83"/>
    <w:rsid w:val="60033294"/>
    <w:rsid w:val="60160FC9"/>
    <w:rsid w:val="601879B6"/>
    <w:rsid w:val="604307FB"/>
    <w:rsid w:val="604F208F"/>
    <w:rsid w:val="60584F1D"/>
    <w:rsid w:val="60A93A22"/>
    <w:rsid w:val="60B707B9"/>
    <w:rsid w:val="60D36CFD"/>
    <w:rsid w:val="60F63B21"/>
    <w:rsid w:val="610A6045"/>
    <w:rsid w:val="61302A02"/>
    <w:rsid w:val="61312681"/>
    <w:rsid w:val="61AE54CE"/>
    <w:rsid w:val="61B63590"/>
    <w:rsid w:val="61BA4B64"/>
    <w:rsid w:val="61E91E30"/>
    <w:rsid w:val="61F66F47"/>
    <w:rsid w:val="6201163A"/>
    <w:rsid w:val="624724B2"/>
    <w:rsid w:val="6271300E"/>
    <w:rsid w:val="6297324D"/>
    <w:rsid w:val="629A41D2"/>
    <w:rsid w:val="62C75F9B"/>
    <w:rsid w:val="63051B4E"/>
    <w:rsid w:val="63076D84"/>
    <w:rsid w:val="633B5F5A"/>
    <w:rsid w:val="63546DDC"/>
    <w:rsid w:val="63654BA0"/>
    <w:rsid w:val="636B4CCD"/>
    <w:rsid w:val="63737739"/>
    <w:rsid w:val="63883E5B"/>
    <w:rsid w:val="638A3ADA"/>
    <w:rsid w:val="63985EF5"/>
    <w:rsid w:val="63B24C9F"/>
    <w:rsid w:val="63C6393F"/>
    <w:rsid w:val="63DB2FDA"/>
    <w:rsid w:val="64367476"/>
    <w:rsid w:val="64557D2B"/>
    <w:rsid w:val="6457322E"/>
    <w:rsid w:val="64A4332E"/>
    <w:rsid w:val="64A66831"/>
    <w:rsid w:val="64E0408C"/>
    <w:rsid w:val="64E84D1C"/>
    <w:rsid w:val="65090AD4"/>
    <w:rsid w:val="65260FB1"/>
    <w:rsid w:val="65343B16"/>
    <w:rsid w:val="65503446"/>
    <w:rsid w:val="65544838"/>
    <w:rsid w:val="657E520F"/>
    <w:rsid w:val="65A60E34"/>
    <w:rsid w:val="65CE2A8E"/>
    <w:rsid w:val="65F53318"/>
    <w:rsid w:val="660035B2"/>
    <w:rsid w:val="66150C06"/>
    <w:rsid w:val="6646724B"/>
    <w:rsid w:val="66491460"/>
    <w:rsid w:val="665916FA"/>
    <w:rsid w:val="66770CAA"/>
    <w:rsid w:val="66880F45"/>
    <w:rsid w:val="66911854"/>
    <w:rsid w:val="66D82907"/>
    <w:rsid w:val="67303293"/>
    <w:rsid w:val="676674E5"/>
    <w:rsid w:val="67693AB6"/>
    <w:rsid w:val="67710EC2"/>
    <w:rsid w:val="67896569"/>
    <w:rsid w:val="678F5EF4"/>
    <w:rsid w:val="67946003"/>
    <w:rsid w:val="6796587F"/>
    <w:rsid w:val="67A86E1E"/>
    <w:rsid w:val="67CF2561"/>
    <w:rsid w:val="67D234E5"/>
    <w:rsid w:val="67F971AD"/>
    <w:rsid w:val="68157452"/>
    <w:rsid w:val="681D485E"/>
    <w:rsid w:val="6837462A"/>
    <w:rsid w:val="683D7311"/>
    <w:rsid w:val="68644FD2"/>
    <w:rsid w:val="68754EED"/>
    <w:rsid w:val="687D5B7C"/>
    <w:rsid w:val="68A04E37"/>
    <w:rsid w:val="68B51559"/>
    <w:rsid w:val="68C83E6B"/>
    <w:rsid w:val="68D06904"/>
    <w:rsid w:val="68F16E39"/>
    <w:rsid w:val="68F64541"/>
    <w:rsid w:val="68FD6917"/>
    <w:rsid w:val="68FF0055"/>
    <w:rsid w:val="6906005F"/>
    <w:rsid w:val="6923630A"/>
    <w:rsid w:val="694036BC"/>
    <w:rsid w:val="694B1A4D"/>
    <w:rsid w:val="696A2302"/>
    <w:rsid w:val="69891532"/>
    <w:rsid w:val="699E3A55"/>
    <w:rsid w:val="69AB2D6B"/>
    <w:rsid w:val="69B76476"/>
    <w:rsid w:val="69B77069"/>
    <w:rsid w:val="69CB10A2"/>
    <w:rsid w:val="69D07728"/>
    <w:rsid w:val="69DA0037"/>
    <w:rsid w:val="6A3B4BD9"/>
    <w:rsid w:val="6A5C2B8F"/>
    <w:rsid w:val="6A6B7926"/>
    <w:rsid w:val="6A6F632C"/>
    <w:rsid w:val="6A9E35F8"/>
    <w:rsid w:val="6AB6329A"/>
    <w:rsid w:val="6AC0614D"/>
    <w:rsid w:val="6AC647BD"/>
    <w:rsid w:val="6AD611D4"/>
    <w:rsid w:val="6B260059"/>
    <w:rsid w:val="6B433D86"/>
    <w:rsid w:val="6B5243A0"/>
    <w:rsid w:val="6B564F76"/>
    <w:rsid w:val="6B8F4205"/>
    <w:rsid w:val="6BB7259D"/>
    <w:rsid w:val="6BC930E6"/>
    <w:rsid w:val="6BFC0FB6"/>
    <w:rsid w:val="6C157962"/>
    <w:rsid w:val="6C205CF3"/>
    <w:rsid w:val="6C483634"/>
    <w:rsid w:val="6C4A4939"/>
    <w:rsid w:val="6C6A15EA"/>
    <w:rsid w:val="6C6E606C"/>
    <w:rsid w:val="6C7E3B0E"/>
    <w:rsid w:val="6C837F96"/>
    <w:rsid w:val="6C9D6941"/>
    <w:rsid w:val="6CBE48F7"/>
    <w:rsid w:val="6CC000C5"/>
    <w:rsid w:val="6CDA5121"/>
    <w:rsid w:val="6CFE78DF"/>
    <w:rsid w:val="6D151A83"/>
    <w:rsid w:val="6D1C6E8F"/>
    <w:rsid w:val="6D2E262D"/>
    <w:rsid w:val="6D446D4F"/>
    <w:rsid w:val="6D621B82"/>
    <w:rsid w:val="6D8D3CCB"/>
    <w:rsid w:val="6D916E4E"/>
    <w:rsid w:val="6DDC72CD"/>
    <w:rsid w:val="6DE8785D"/>
    <w:rsid w:val="6DE90B62"/>
    <w:rsid w:val="6DEA65E3"/>
    <w:rsid w:val="6DFC3BBF"/>
    <w:rsid w:val="6E143DDD"/>
    <w:rsid w:val="6E34575E"/>
    <w:rsid w:val="6E384164"/>
    <w:rsid w:val="6E386362"/>
    <w:rsid w:val="6E4224F5"/>
    <w:rsid w:val="6E584699"/>
    <w:rsid w:val="6E5D529D"/>
    <w:rsid w:val="6E744EC2"/>
    <w:rsid w:val="6E8A28E9"/>
    <w:rsid w:val="6E940676"/>
    <w:rsid w:val="6E9B6407"/>
    <w:rsid w:val="6EB227A9"/>
    <w:rsid w:val="6EBE403D"/>
    <w:rsid w:val="6ED31611"/>
    <w:rsid w:val="6EE014FE"/>
    <w:rsid w:val="6F050034"/>
    <w:rsid w:val="6F1218C9"/>
    <w:rsid w:val="6F3D238D"/>
    <w:rsid w:val="6F3F5890"/>
    <w:rsid w:val="6F434296"/>
    <w:rsid w:val="6F6A1F57"/>
    <w:rsid w:val="6F6F1C62"/>
    <w:rsid w:val="6F877309"/>
    <w:rsid w:val="6F8A028E"/>
    <w:rsid w:val="6F973D20"/>
    <w:rsid w:val="6FC35E69"/>
    <w:rsid w:val="6FCE54FF"/>
    <w:rsid w:val="6FE74DA4"/>
    <w:rsid w:val="6FEA5D29"/>
    <w:rsid w:val="6FEC122C"/>
    <w:rsid w:val="6FFE024C"/>
    <w:rsid w:val="704F34CF"/>
    <w:rsid w:val="70734988"/>
    <w:rsid w:val="70B51F79"/>
    <w:rsid w:val="70D46FAB"/>
    <w:rsid w:val="70DB6936"/>
    <w:rsid w:val="71511DF8"/>
    <w:rsid w:val="71760D33"/>
    <w:rsid w:val="71791CB7"/>
    <w:rsid w:val="71B21D98"/>
    <w:rsid w:val="71B90522"/>
    <w:rsid w:val="71C468B3"/>
    <w:rsid w:val="71DE6EED"/>
    <w:rsid w:val="721E0247"/>
    <w:rsid w:val="722865D8"/>
    <w:rsid w:val="725C38FE"/>
    <w:rsid w:val="72617A36"/>
    <w:rsid w:val="72812429"/>
    <w:rsid w:val="72C651DC"/>
    <w:rsid w:val="72F113E2"/>
    <w:rsid w:val="72F42E4A"/>
    <w:rsid w:val="731E366D"/>
    <w:rsid w:val="73950D2D"/>
    <w:rsid w:val="739667AE"/>
    <w:rsid w:val="73AE4625"/>
    <w:rsid w:val="73CF3490"/>
    <w:rsid w:val="73D0568F"/>
    <w:rsid w:val="73E42131"/>
    <w:rsid w:val="73E907B7"/>
    <w:rsid w:val="73FF337A"/>
    <w:rsid w:val="740C41EF"/>
    <w:rsid w:val="74283B1F"/>
    <w:rsid w:val="744A7557"/>
    <w:rsid w:val="7455116B"/>
    <w:rsid w:val="74555514"/>
    <w:rsid w:val="74977656"/>
    <w:rsid w:val="749C5499"/>
    <w:rsid w:val="74B31505"/>
    <w:rsid w:val="74B72109"/>
    <w:rsid w:val="74C958A7"/>
    <w:rsid w:val="74D52A18"/>
    <w:rsid w:val="74E21F0E"/>
    <w:rsid w:val="74FB18F9"/>
    <w:rsid w:val="74FC2BFE"/>
    <w:rsid w:val="74FE6101"/>
    <w:rsid w:val="75080C0F"/>
    <w:rsid w:val="750D091A"/>
    <w:rsid w:val="75136FA0"/>
    <w:rsid w:val="75213D37"/>
    <w:rsid w:val="7521568D"/>
    <w:rsid w:val="7525273D"/>
    <w:rsid w:val="752836C2"/>
    <w:rsid w:val="75296EEB"/>
    <w:rsid w:val="75360459"/>
    <w:rsid w:val="753D3667"/>
    <w:rsid w:val="754D5E80"/>
    <w:rsid w:val="75504886"/>
    <w:rsid w:val="75614B20"/>
    <w:rsid w:val="75757044"/>
    <w:rsid w:val="758614DD"/>
    <w:rsid w:val="759365F4"/>
    <w:rsid w:val="75956274"/>
    <w:rsid w:val="75B06567"/>
    <w:rsid w:val="75C65B4A"/>
    <w:rsid w:val="75C857C9"/>
    <w:rsid w:val="75DA47EA"/>
    <w:rsid w:val="75E95CFE"/>
    <w:rsid w:val="75F57592"/>
    <w:rsid w:val="75FF3725"/>
    <w:rsid w:val="76401F90"/>
    <w:rsid w:val="76450616"/>
    <w:rsid w:val="766C62D7"/>
    <w:rsid w:val="7671275F"/>
    <w:rsid w:val="767C6572"/>
    <w:rsid w:val="76912C94"/>
    <w:rsid w:val="769E5415"/>
    <w:rsid w:val="76B231C9"/>
    <w:rsid w:val="76C05D62"/>
    <w:rsid w:val="76C80BEF"/>
    <w:rsid w:val="76CC3D72"/>
    <w:rsid w:val="76D25C7C"/>
    <w:rsid w:val="76D336FD"/>
    <w:rsid w:val="76D55C89"/>
    <w:rsid w:val="76F8173F"/>
    <w:rsid w:val="77050A54"/>
    <w:rsid w:val="772F1899"/>
    <w:rsid w:val="773A7C2A"/>
    <w:rsid w:val="773D2DAD"/>
    <w:rsid w:val="775871DA"/>
    <w:rsid w:val="777D7419"/>
    <w:rsid w:val="77B34070"/>
    <w:rsid w:val="77DF61B9"/>
    <w:rsid w:val="77E03C3B"/>
    <w:rsid w:val="77EB41CA"/>
    <w:rsid w:val="77EF2BD0"/>
    <w:rsid w:val="78106988"/>
    <w:rsid w:val="783A3050"/>
    <w:rsid w:val="787850B3"/>
    <w:rsid w:val="788C3D53"/>
    <w:rsid w:val="78914FA6"/>
    <w:rsid w:val="789449E3"/>
    <w:rsid w:val="78A33979"/>
    <w:rsid w:val="78A56E7C"/>
    <w:rsid w:val="78BC6AA1"/>
    <w:rsid w:val="78BD22C6"/>
    <w:rsid w:val="78CE1FE7"/>
    <w:rsid w:val="78E8666B"/>
    <w:rsid w:val="78F92189"/>
    <w:rsid w:val="7905019A"/>
    <w:rsid w:val="79206045"/>
    <w:rsid w:val="795D275F"/>
    <w:rsid w:val="79641838"/>
    <w:rsid w:val="79695CC0"/>
    <w:rsid w:val="798E6F68"/>
    <w:rsid w:val="79C73ADB"/>
    <w:rsid w:val="79CC7F63"/>
    <w:rsid w:val="79D704F2"/>
    <w:rsid w:val="79DB139A"/>
    <w:rsid w:val="79E14685"/>
    <w:rsid w:val="79F41B44"/>
    <w:rsid w:val="79FA3F2A"/>
    <w:rsid w:val="7A1712DC"/>
    <w:rsid w:val="7A2902FC"/>
    <w:rsid w:val="7A35410F"/>
    <w:rsid w:val="7A3B6018"/>
    <w:rsid w:val="7A4F1436"/>
    <w:rsid w:val="7A5F16D0"/>
    <w:rsid w:val="7A726172"/>
    <w:rsid w:val="7A867391"/>
    <w:rsid w:val="7AA75347"/>
    <w:rsid w:val="7AC426F9"/>
    <w:rsid w:val="7ADE32A3"/>
    <w:rsid w:val="7AED003A"/>
    <w:rsid w:val="7B14377D"/>
    <w:rsid w:val="7B186900"/>
    <w:rsid w:val="7B1D660B"/>
    <w:rsid w:val="7B3B396D"/>
    <w:rsid w:val="7B3E6B40"/>
    <w:rsid w:val="7B5641E6"/>
    <w:rsid w:val="7B571C68"/>
    <w:rsid w:val="7B576EF9"/>
    <w:rsid w:val="7B582F6D"/>
    <w:rsid w:val="7B5A6470"/>
    <w:rsid w:val="7B683207"/>
    <w:rsid w:val="7B6A670A"/>
    <w:rsid w:val="7B6C1C0D"/>
    <w:rsid w:val="7BD53ACF"/>
    <w:rsid w:val="7BDC5744"/>
    <w:rsid w:val="7BF817F1"/>
    <w:rsid w:val="7BFB7CB5"/>
    <w:rsid w:val="7C043085"/>
    <w:rsid w:val="7C291FC0"/>
    <w:rsid w:val="7C3847D9"/>
    <w:rsid w:val="7C63309F"/>
    <w:rsid w:val="7C985AF7"/>
    <w:rsid w:val="7CC3693C"/>
    <w:rsid w:val="7CF22D0E"/>
    <w:rsid w:val="7D1B284D"/>
    <w:rsid w:val="7D2456DB"/>
    <w:rsid w:val="7D6306FA"/>
    <w:rsid w:val="7D6342C7"/>
    <w:rsid w:val="7D667D68"/>
    <w:rsid w:val="7D6F00D9"/>
    <w:rsid w:val="7D802572"/>
    <w:rsid w:val="7D9B26AB"/>
    <w:rsid w:val="7D9E53A5"/>
    <w:rsid w:val="7DCD6B2C"/>
    <w:rsid w:val="7DD23697"/>
    <w:rsid w:val="7E481FBB"/>
    <w:rsid w:val="7E595AD8"/>
    <w:rsid w:val="7E695D73"/>
    <w:rsid w:val="7E851E20"/>
    <w:rsid w:val="7E89691C"/>
    <w:rsid w:val="7EDA732B"/>
    <w:rsid w:val="7F117485"/>
    <w:rsid w:val="7F136DA3"/>
    <w:rsid w:val="7F1C5816"/>
    <w:rsid w:val="7F2351A1"/>
    <w:rsid w:val="7F2B0A14"/>
    <w:rsid w:val="7F587BFA"/>
    <w:rsid w:val="7F5C1E83"/>
    <w:rsid w:val="7F8848D0"/>
    <w:rsid w:val="7F8E00D4"/>
    <w:rsid w:val="7F8F7D53"/>
    <w:rsid w:val="7FCF160C"/>
    <w:rsid w:val="7FDC5C54"/>
    <w:rsid w:val="7FF55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Balloon Text"/>
    <w:basedOn w:val="1"/>
    <w:link w:val="2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style>
  <w:style w:type="character" w:styleId="9">
    <w:name w:val="Hyperlink"/>
    <w:basedOn w:val="7"/>
    <w:unhideWhenUsed/>
    <w:qFormat/>
    <w:uiPriority w:val="99"/>
    <w:rPr>
      <w:color w:val="0000FF"/>
      <w:u w:val="single"/>
    </w:rPr>
  </w:style>
  <w:style w:type="character" w:customStyle="1" w:styleId="11">
    <w:name w:val="p0 Char"/>
    <w:basedOn w:val="7"/>
    <w:link w:val="12"/>
    <w:qFormat/>
    <w:uiPriority w:val="0"/>
    <w:rPr>
      <w:rFonts w:eastAsia="宋体"/>
      <w:sz w:val="21"/>
      <w:szCs w:val="21"/>
      <w:lang w:val="en-US" w:eastAsia="zh-CN" w:bidi="ar-SA"/>
    </w:rPr>
  </w:style>
  <w:style w:type="paragraph" w:customStyle="1" w:styleId="12">
    <w:name w:val="p0"/>
    <w:basedOn w:val="1"/>
    <w:link w:val="11"/>
    <w:qFormat/>
    <w:uiPriority w:val="0"/>
    <w:pPr>
      <w:widowControl/>
    </w:pPr>
    <w:rPr>
      <w:kern w:val="0"/>
      <w:szCs w:val="21"/>
    </w:rPr>
  </w:style>
  <w:style w:type="character" w:customStyle="1" w:styleId="13">
    <w:name w:val="unnamed11"/>
    <w:basedOn w:val="7"/>
    <w:qFormat/>
    <w:uiPriority w:val="0"/>
    <w:rPr>
      <w:color w:val="000000"/>
      <w:sz w:val="21"/>
      <w:u w:val="none"/>
    </w:rPr>
  </w:style>
  <w:style w:type="paragraph" w:customStyle="1" w:styleId="14">
    <w:name w:val="Char"/>
    <w:basedOn w:val="1"/>
    <w:qFormat/>
    <w:uiPriority w:val="0"/>
  </w:style>
  <w:style w:type="paragraph" w:customStyle="1" w:styleId="15">
    <w:name w:val="No Spacing"/>
    <w:qFormat/>
    <w:uiPriority w:val="1"/>
    <w:pPr>
      <w:widowControl w:val="0"/>
      <w:jc w:val="both"/>
    </w:pPr>
    <w:rPr>
      <w:rFonts w:ascii="Calibri" w:hAnsi="Calibri" w:eastAsia="宋体" w:cs="黑体"/>
      <w:kern w:val="2"/>
      <w:sz w:val="21"/>
      <w:szCs w:val="22"/>
      <w:lang w:val="en-US" w:eastAsia="zh-CN" w:bidi="ar-SA"/>
    </w:rPr>
  </w:style>
  <w:style w:type="paragraph" w:customStyle="1" w:styleId="16">
    <w:name w:val="Char Char Char1 Char Char Char Char"/>
    <w:basedOn w:val="1"/>
    <w:qFormat/>
    <w:uiPriority w:val="0"/>
    <w:rPr>
      <w:rFonts w:ascii="仿宋_GB2312" w:eastAsia="仿宋_GB2312"/>
      <w:b/>
      <w:sz w:val="32"/>
      <w:szCs w:val="32"/>
    </w:rPr>
  </w:style>
  <w:style w:type="paragraph" w:customStyle="1" w:styleId="17">
    <w:name w:val="plaintext"/>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8">
    <w:name w:val="Char Char Char Char Char1 Char"/>
    <w:basedOn w:val="2"/>
    <w:qFormat/>
    <w:uiPriority w:val="0"/>
    <w:pPr>
      <w:adjustRightInd w:val="0"/>
      <w:spacing w:line="436" w:lineRule="exact"/>
      <w:ind w:left="357"/>
      <w:jc w:val="left"/>
      <w:outlineLvl w:val="3"/>
    </w:pPr>
    <w:rPr>
      <w:rFonts w:ascii="Tahoma" w:hAnsi="Tahoma"/>
      <w:b/>
      <w:sz w:val="24"/>
    </w:rPr>
  </w:style>
  <w:style w:type="paragraph" w:customStyle="1" w:styleId="19">
    <w:name w:val="Char Char Char Char1 Char Char Char Char Char Char"/>
    <w:basedOn w:val="1"/>
    <w:qFormat/>
    <w:uiPriority w:val="0"/>
    <w:pPr>
      <w:tabs>
        <w:tab w:val="left" w:pos="840"/>
      </w:tabs>
      <w:ind w:left="840" w:hanging="420"/>
    </w:pPr>
  </w:style>
  <w:style w:type="character" w:customStyle="1" w:styleId="20">
    <w:name w:val="批注框文本 Char"/>
    <w:basedOn w:val="7"/>
    <w:link w:val="3"/>
    <w:qFormat/>
    <w:uiPriority w:val="0"/>
    <w:rPr>
      <w:kern w:val="2"/>
      <w:sz w:val="18"/>
      <w:szCs w:val="18"/>
    </w:r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9.xml"/><Relationship Id="rId14" Type="http://schemas.openxmlformats.org/officeDocument/2006/relationships/chart" Target="charts/chart8.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r>
              <a:rPr lang="en-US" altLang="zh-CN" sz="1400"/>
              <a:t>2017</a:t>
            </a:r>
            <a:r>
              <a:rPr lang="zh-CN" altLang="en-US" sz="1400"/>
              <a:t>年国民经济和社会发展情况示意图（单位：亿元）</a:t>
            </a:r>
            <a:endParaRPr lang="zh-CN" altLang="en-US" sz="1400"/>
          </a:p>
        </c:rich>
      </c:tx>
      <c:layout/>
      <c:overlay val="0"/>
    </c:title>
    <c:autoTitleDeleted val="0"/>
    <c:plotArea>
      <c:layout/>
      <c:barChart>
        <c:barDir val="col"/>
        <c:grouping val="clustered"/>
        <c:varyColors val="0"/>
        <c:ser>
          <c:idx val="0"/>
          <c:order val="0"/>
          <c:tx>
            <c:strRef>
              <c:f>Sheet1!$B$1</c:f>
              <c:strCache>
                <c:ptCount val="1"/>
                <c:pt idx="0">
                  <c:v>2013年</c:v>
                </c:pt>
              </c:strCache>
            </c:strRef>
          </c:tx>
          <c:invertIfNegative val="0"/>
          <c:dLbls>
            <c:delete val="1"/>
          </c:dLbls>
          <c:cat>
            <c:strRef>
              <c:f>Sheet1!$A$2:$A$5</c:f>
              <c:strCache>
                <c:ptCount val="4"/>
                <c:pt idx="0">
                  <c:v>生产总值</c:v>
                </c:pt>
                <c:pt idx="1">
                  <c:v>第一产业</c:v>
                </c:pt>
                <c:pt idx="2">
                  <c:v>第二产业</c:v>
                </c:pt>
                <c:pt idx="3">
                  <c:v>第三产业</c:v>
                </c:pt>
              </c:strCache>
            </c:strRef>
          </c:cat>
          <c:val>
            <c:numRef>
              <c:f>Sheet1!$B$2:$B$5</c:f>
              <c:numCache>
                <c:formatCode>General</c:formatCode>
                <c:ptCount val="4"/>
                <c:pt idx="0">
                  <c:v>29.97</c:v>
                </c:pt>
                <c:pt idx="1">
                  <c:v>5.29</c:v>
                </c:pt>
                <c:pt idx="2">
                  <c:v>17.95</c:v>
                </c:pt>
                <c:pt idx="3">
                  <c:v>6.73</c:v>
                </c:pt>
              </c:numCache>
            </c:numRef>
          </c:val>
        </c:ser>
        <c:ser>
          <c:idx val="1"/>
          <c:order val="1"/>
          <c:tx>
            <c:strRef>
              <c:f>Sheet1!$C$1</c:f>
              <c:strCache>
                <c:ptCount val="1"/>
                <c:pt idx="0">
                  <c:v>2016年</c:v>
                </c:pt>
              </c:strCache>
            </c:strRef>
          </c:tx>
          <c:invertIfNegative val="0"/>
          <c:dLbls>
            <c:delete val="1"/>
          </c:dLbls>
          <c:cat>
            <c:strRef>
              <c:f>Sheet1!$A$2:$A$5</c:f>
              <c:strCache>
                <c:ptCount val="4"/>
                <c:pt idx="0">
                  <c:v>生产总值</c:v>
                </c:pt>
                <c:pt idx="1">
                  <c:v>第一产业</c:v>
                </c:pt>
                <c:pt idx="2">
                  <c:v>第二产业</c:v>
                </c:pt>
                <c:pt idx="3">
                  <c:v>第三产业</c:v>
                </c:pt>
              </c:strCache>
            </c:strRef>
          </c:cat>
          <c:val>
            <c:numRef>
              <c:f>Sheet1!$C$2:$C$5</c:f>
              <c:numCache>
                <c:formatCode>General</c:formatCode>
                <c:ptCount val="4"/>
                <c:pt idx="0">
                  <c:v>31.93</c:v>
                </c:pt>
                <c:pt idx="1">
                  <c:v>7.23</c:v>
                </c:pt>
                <c:pt idx="2">
                  <c:v>14.83</c:v>
                </c:pt>
                <c:pt idx="3">
                  <c:v>9.87</c:v>
                </c:pt>
              </c:numCache>
            </c:numRef>
          </c:val>
        </c:ser>
        <c:ser>
          <c:idx val="2"/>
          <c:order val="2"/>
          <c:tx>
            <c:strRef>
              <c:f>Sheet1!$D$1</c:f>
              <c:strCache>
                <c:ptCount val="1"/>
                <c:pt idx="0">
                  <c:v>2017年</c:v>
                </c:pt>
              </c:strCache>
            </c:strRef>
          </c:tx>
          <c:invertIfNegative val="0"/>
          <c:dLbls>
            <c:delete val="1"/>
          </c:dLbls>
          <c:cat>
            <c:strRef>
              <c:f>Sheet1!$A$2:$A$5</c:f>
              <c:strCache>
                <c:ptCount val="4"/>
                <c:pt idx="0">
                  <c:v>生产总值</c:v>
                </c:pt>
                <c:pt idx="1">
                  <c:v>第一产业</c:v>
                </c:pt>
                <c:pt idx="2">
                  <c:v>第二产业</c:v>
                </c:pt>
                <c:pt idx="3">
                  <c:v>第三产业</c:v>
                </c:pt>
              </c:strCache>
            </c:strRef>
          </c:cat>
          <c:val>
            <c:numRef>
              <c:f>Sheet1!$D$2:$D$5</c:f>
              <c:numCache>
                <c:formatCode>General</c:formatCode>
                <c:ptCount val="4"/>
                <c:pt idx="0">
                  <c:v>34.41</c:v>
                </c:pt>
                <c:pt idx="1">
                  <c:v>7.63</c:v>
                </c:pt>
                <c:pt idx="2">
                  <c:v>15.58</c:v>
                </c:pt>
                <c:pt idx="3">
                  <c:v>11.2</c:v>
                </c:pt>
              </c:numCache>
            </c:numRef>
          </c:val>
        </c:ser>
        <c:dLbls>
          <c:showLegendKey val="0"/>
          <c:showVal val="0"/>
          <c:showCatName val="0"/>
          <c:showSerName val="0"/>
          <c:showPercent val="0"/>
          <c:showBubbleSize val="0"/>
        </c:dLbls>
        <c:gapWidth val="150"/>
        <c:axId val="137556352"/>
        <c:axId val="137557888"/>
      </c:barChart>
      <c:catAx>
        <c:axId val="137556352"/>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7557888"/>
        <c:crosses val="autoZero"/>
        <c:auto val="1"/>
        <c:lblAlgn val="ctr"/>
        <c:lblOffset val="100"/>
        <c:noMultiLvlLbl val="0"/>
      </c:catAx>
      <c:valAx>
        <c:axId val="137557888"/>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7556352"/>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solidFill>
          <a:srgbClr val="EEECE1">
            <a:alpha val="61000"/>
          </a:srgbClr>
        </a:solidFill>
      </c:spPr>
    </c:plotArea>
    <c:plotVisOnly val="1"/>
    <c:dispBlanksAs val="gap"/>
    <c:showDLblsOverMax val="0"/>
  </c:chart>
  <c:spPr>
    <a:solidFill>
      <a:srgbClr val="EEECE1">
        <a:alpha val="59000"/>
      </a:srgbClr>
    </a:solidFill>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楷体" panose="02010609060101010101" pitchFamily="49" charset="-122"/>
                <a:ea typeface="楷体" panose="02010609060101010101" pitchFamily="49" charset="-122"/>
                <a:cs typeface="+mn-cs"/>
              </a:defRPr>
            </a:pPr>
            <a:r>
              <a:rPr lang="en-US" altLang="zh-CN" sz="1600" b="1">
                <a:latin typeface="仿宋" panose="02010609060101010101" pitchFamily="3" charset="-122"/>
                <a:ea typeface="仿宋" panose="02010609060101010101" pitchFamily="3" charset="-122"/>
              </a:rPr>
              <a:t>2017</a:t>
            </a:r>
            <a:r>
              <a:rPr lang="zh-CN" altLang="en-US" sz="1600" b="1">
                <a:latin typeface="仿宋" panose="02010609060101010101" pitchFamily="3" charset="-122"/>
                <a:ea typeface="仿宋" panose="02010609060101010101" pitchFamily="3" charset="-122"/>
              </a:rPr>
              <a:t>年财政供养人员情况表</a:t>
            </a:r>
            <a:endParaRPr lang="zh-CN" altLang="en-US" sz="1600" b="1">
              <a:latin typeface="仿宋" panose="02010609060101010101" pitchFamily="3" charset="-122"/>
              <a:ea typeface="仿宋" panose="02010609060101010101" pitchFamily="3" charset="-122"/>
            </a:endParaRPr>
          </a:p>
        </c:rich>
      </c:tx>
      <c:layout/>
      <c:overlay val="0"/>
    </c:title>
    <c:autoTitleDeleted val="0"/>
    <c:plotArea>
      <c:layout/>
      <c:barChart>
        <c:barDir val="col"/>
        <c:grouping val="clustered"/>
        <c:varyColors val="0"/>
        <c:ser>
          <c:idx val="0"/>
          <c:order val="0"/>
          <c:tx>
            <c:strRef>
              <c:f>Sheet1!$B$1</c:f>
              <c:strCache>
                <c:ptCount val="1"/>
                <c:pt idx="0">
                  <c:v>2016年</c:v>
                </c:pt>
              </c:strCache>
            </c:strRef>
          </c:tx>
          <c:spPr>
            <a:solidFill>
              <a:schemeClr val="bg1">
                <a:lumMod val="85000"/>
              </a:schemeClr>
            </a:solidFill>
          </c:spPr>
          <c:invertIfNegative val="0"/>
          <c:dPt>
            <c:idx val="0"/>
            <c:invertIfNegative val="0"/>
            <c:bubble3D val="0"/>
            <c:spPr>
              <a:solidFill>
                <a:schemeClr val="accent3">
                  <a:lumMod val="20000"/>
                  <a:lumOff val="80000"/>
                </a:schemeClr>
              </a:solidFill>
            </c:spPr>
          </c:dPt>
          <c:dPt>
            <c:idx val="1"/>
            <c:invertIfNegative val="0"/>
            <c:bubble3D val="0"/>
            <c:spPr>
              <a:solidFill>
                <a:schemeClr val="accent3">
                  <a:lumMod val="20000"/>
                  <a:lumOff val="80000"/>
                </a:schemeClr>
              </a:solidFill>
            </c:spPr>
          </c:dPt>
          <c:dLbls>
            <c:delete val="1"/>
          </c:dLbls>
          <c:cat>
            <c:strRef>
              <c:f>Sheet1!$A$2:$A$4</c:f>
              <c:strCache>
                <c:ptCount val="3"/>
                <c:pt idx="0">
                  <c:v>年末实有人数</c:v>
                </c:pt>
                <c:pt idx="1">
                  <c:v>在职</c:v>
                </c:pt>
                <c:pt idx="2">
                  <c:v>离休</c:v>
                </c:pt>
              </c:strCache>
            </c:strRef>
          </c:cat>
          <c:val>
            <c:numRef>
              <c:f>Sheet1!$B$2:$B$4</c:f>
              <c:numCache>
                <c:formatCode>General</c:formatCode>
                <c:ptCount val="3"/>
                <c:pt idx="0">
                  <c:v>4261</c:v>
                </c:pt>
                <c:pt idx="1">
                  <c:v>4248</c:v>
                </c:pt>
                <c:pt idx="2">
                  <c:v>13</c:v>
                </c:pt>
              </c:numCache>
            </c:numRef>
          </c:val>
        </c:ser>
        <c:ser>
          <c:idx val="1"/>
          <c:order val="1"/>
          <c:tx>
            <c:strRef>
              <c:f>Sheet1!$C$1</c:f>
              <c:strCache>
                <c:ptCount val="1"/>
                <c:pt idx="0">
                  <c:v>2017年</c:v>
                </c:pt>
              </c:strCache>
            </c:strRef>
          </c:tx>
          <c:invertIfNegative val="0"/>
          <c:dLbls>
            <c:delete val="1"/>
          </c:dLbls>
          <c:cat>
            <c:strRef>
              <c:f>Sheet1!$A$2:$A$4</c:f>
              <c:strCache>
                <c:ptCount val="3"/>
                <c:pt idx="0">
                  <c:v>年末实有人数</c:v>
                </c:pt>
                <c:pt idx="1">
                  <c:v>在职</c:v>
                </c:pt>
                <c:pt idx="2">
                  <c:v>离休</c:v>
                </c:pt>
              </c:strCache>
            </c:strRef>
          </c:cat>
          <c:val>
            <c:numRef>
              <c:f>Sheet1!$C$2:$C$4</c:f>
              <c:numCache>
                <c:formatCode>General</c:formatCode>
                <c:ptCount val="3"/>
                <c:pt idx="0">
                  <c:v>4328</c:v>
                </c:pt>
                <c:pt idx="1">
                  <c:v>4316</c:v>
                </c:pt>
                <c:pt idx="2">
                  <c:v>12</c:v>
                </c:pt>
              </c:numCache>
            </c:numRef>
          </c:val>
        </c:ser>
        <c:dLbls>
          <c:showLegendKey val="0"/>
          <c:showVal val="0"/>
          <c:showCatName val="0"/>
          <c:showSerName val="0"/>
          <c:showPercent val="0"/>
          <c:showBubbleSize val="0"/>
        </c:dLbls>
        <c:gapWidth val="150"/>
        <c:axId val="136562944"/>
        <c:axId val="137551872"/>
      </c:barChart>
      <c:catAx>
        <c:axId val="13656294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7551872"/>
        <c:crosses val="autoZero"/>
        <c:auto val="1"/>
        <c:lblAlgn val="ctr"/>
        <c:lblOffset val="100"/>
        <c:noMultiLvlLbl val="0"/>
      </c:catAx>
      <c:valAx>
        <c:axId val="137551872"/>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6562944"/>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solidFill>
          <a:srgbClr val="4BACC6">
            <a:lumMod val="20000"/>
            <a:lumOff val="80000"/>
            <a:alpha val="27000"/>
          </a:srgbClr>
        </a:solidFill>
      </c:spPr>
    </c:plotArea>
    <c:plotVisOnly val="1"/>
    <c:dispBlanksAs val="gap"/>
    <c:showDLblsOverMax val="0"/>
  </c:chart>
  <c:spPr>
    <a:solidFill>
      <a:schemeClr val="accent5">
        <a:lumMod val="20000"/>
        <a:lumOff val="80000"/>
        <a:alpha val="88000"/>
      </a:schemeClr>
    </a:solidFill>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仿宋" panose="02010609060101010101" pitchFamily="3" charset="-122"/>
                <a:ea typeface="仿宋" panose="02010609060101010101" pitchFamily="3" charset="-122"/>
                <a:cs typeface="+mn-cs"/>
              </a:defRPr>
            </a:pPr>
            <a:r>
              <a:rPr lang="en-US" altLang="zh-CN" sz="1600">
                <a:latin typeface="仿宋" panose="02010609060101010101" pitchFamily="3" charset="-122"/>
                <a:ea typeface="仿宋" panose="02010609060101010101" pitchFamily="3" charset="-122"/>
              </a:rPr>
              <a:t>2017</a:t>
            </a:r>
            <a:r>
              <a:rPr lang="zh-CN" altLang="en-US" sz="1600">
                <a:latin typeface="仿宋" panose="02010609060101010101" pitchFamily="3" charset="-122"/>
                <a:ea typeface="仿宋" panose="02010609060101010101" pitchFamily="3" charset="-122"/>
              </a:rPr>
              <a:t>年财政收入同期对比图</a:t>
            </a:r>
            <a:endParaRPr lang="zh-CN" altLang="en-US" sz="1600">
              <a:latin typeface="仿宋" panose="02010609060101010101" pitchFamily="3" charset="-122"/>
              <a:ea typeface="仿宋" panose="02010609060101010101" pitchFamily="3" charset="-122"/>
            </a:endParaRPr>
          </a:p>
        </c:rich>
      </c:tx>
      <c:layout/>
      <c:overlay val="0"/>
    </c:title>
    <c:autoTitleDeleted val="0"/>
    <c:plotArea>
      <c:layout>
        <c:manualLayout>
          <c:layoutTarget val="inner"/>
          <c:xMode val="edge"/>
          <c:yMode val="edge"/>
          <c:x val="0.200400431873732"/>
          <c:y val="0.146176727909007"/>
          <c:w val="0.76017329159158"/>
          <c:h val="0.616122236688937"/>
        </c:manualLayout>
      </c:layout>
      <c:barChart>
        <c:barDir val="col"/>
        <c:grouping val="clustered"/>
        <c:varyColors val="0"/>
        <c:ser>
          <c:idx val="0"/>
          <c:order val="0"/>
          <c:tx>
            <c:strRef>
              <c:f>Sheet1!$B$1</c:f>
              <c:strCache>
                <c:ptCount val="1"/>
                <c:pt idx="0">
                  <c:v>2016年(万元)</c:v>
                </c:pt>
              </c:strCache>
            </c:strRef>
          </c:tx>
          <c:spPr>
            <a:solidFill>
              <a:schemeClr val="accent3">
                <a:lumMod val="60000"/>
                <a:lumOff val="40000"/>
              </a:schemeClr>
            </a:solidFill>
          </c:spPr>
          <c:invertIfNegative val="0"/>
          <c:dLbls>
            <c:delete val="1"/>
          </c:dLbls>
          <c:cat>
            <c:strRef>
              <c:f>Sheet1!$A$2:$A$4</c:f>
              <c:strCache>
                <c:ptCount val="3"/>
                <c:pt idx="0">
                  <c:v>地方财政收入</c:v>
                </c:pt>
                <c:pt idx="1">
                  <c:v>一般公共预算收入</c:v>
                </c:pt>
                <c:pt idx="2">
                  <c:v>政府性基金收入</c:v>
                </c:pt>
              </c:strCache>
            </c:strRef>
          </c:cat>
          <c:val>
            <c:numRef>
              <c:f>Sheet1!$B$2:$B$4</c:f>
              <c:numCache>
                <c:formatCode>General</c:formatCode>
                <c:ptCount val="3"/>
                <c:pt idx="0">
                  <c:v>23883</c:v>
                </c:pt>
                <c:pt idx="1">
                  <c:v>21262</c:v>
                </c:pt>
                <c:pt idx="2">
                  <c:v>2621</c:v>
                </c:pt>
              </c:numCache>
            </c:numRef>
          </c:val>
        </c:ser>
        <c:ser>
          <c:idx val="1"/>
          <c:order val="1"/>
          <c:tx>
            <c:strRef>
              <c:f>Sheet1!$C$1</c:f>
              <c:strCache>
                <c:ptCount val="1"/>
                <c:pt idx="0">
                  <c:v>2017年(万元)</c:v>
                </c:pt>
              </c:strCache>
            </c:strRef>
          </c:tx>
          <c:invertIfNegative val="0"/>
          <c:dLbls>
            <c:delete val="1"/>
          </c:dLbls>
          <c:cat>
            <c:strRef>
              <c:f>Sheet1!$A$2:$A$4</c:f>
              <c:strCache>
                <c:ptCount val="3"/>
                <c:pt idx="0">
                  <c:v>地方财政收入</c:v>
                </c:pt>
                <c:pt idx="1">
                  <c:v>一般公共预算收入</c:v>
                </c:pt>
                <c:pt idx="2">
                  <c:v>政府性基金收入</c:v>
                </c:pt>
              </c:strCache>
            </c:strRef>
          </c:cat>
          <c:val>
            <c:numRef>
              <c:f>Sheet1!$C$2:$C$4</c:f>
              <c:numCache>
                <c:formatCode>General</c:formatCode>
                <c:ptCount val="3"/>
                <c:pt idx="0">
                  <c:v>22596</c:v>
                </c:pt>
                <c:pt idx="1">
                  <c:v>21691</c:v>
                </c:pt>
                <c:pt idx="2">
                  <c:v>905</c:v>
                </c:pt>
              </c:numCache>
            </c:numRef>
          </c:val>
        </c:ser>
        <c:dLbls>
          <c:showLegendKey val="0"/>
          <c:showVal val="0"/>
          <c:showCatName val="0"/>
          <c:showSerName val="0"/>
          <c:showPercent val="0"/>
          <c:showBubbleSize val="0"/>
        </c:dLbls>
        <c:gapWidth val="150"/>
        <c:axId val="138028544"/>
        <c:axId val="138030080"/>
      </c:barChart>
      <c:catAx>
        <c:axId val="13802854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030080"/>
        <c:crosses val="autoZero"/>
        <c:auto val="1"/>
        <c:lblAlgn val="ctr"/>
        <c:lblOffset val="100"/>
        <c:noMultiLvlLbl val="0"/>
      </c:catAx>
      <c:valAx>
        <c:axId val="138030080"/>
        <c:scaling>
          <c:orientation val="minMax"/>
          <c:max val="25000"/>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028544"/>
        <c:crosses val="autoZero"/>
        <c:crossBetween val="between"/>
        <c:majorUnit val="5000"/>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solidFill>
          <a:schemeClr val="accent5">
            <a:lumMod val="20000"/>
            <a:lumOff val="80000"/>
          </a:schemeClr>
        </a:solidFill>
      </c:spPr>
    </c:plotArea>
    <c:plotVisOnly val="1"/>
    <c:dispBlanksAs val="gap"/>
    <c:showDLblsOverMax val="0"/>
  </c:chart>
  <c:spPr>
    <a:solidFill>
      <a:schemeClr val="accent5">
        <a:lumMod val="20000"/>
        <a:lumOff val="80000"/>
      </a:schemeClr>
    </a:solidFill>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mn-lt"/>
                <a:ea typeface="仿宋" panose="02010609060101010101" pitchFamily="3" charset="-122"/>
                <a:cs typeface="+mn-cs"/>
              </a:defRPr>
            </a:pPr>
            <a:r>
              <a:rPr lang="en-US" altLang="zh-CN" sz="1600" baseline="0">
                <a:ea typeface="仿宋" panose="02010609060101010101" pitchFamily="3" charset="-122"/>
              </a:rPr>
              <a:t>2017</a:t>
            </a:r>
            <a:r>
              <a:rPr lang="zh-CN" altLang="en-US" sz="1600" baseline="0">
                <a:ea typeface="仿宋" panose="02010609060101010101" pitchFamily="3" charset="-122"/>
              </a:rPr>
              <a:t>年一般公共预算收入分部门完成情况</a:t>
            </a:r>
            <a:endParaRPr lang="zh-CN" altLang="en-US" sz="1600" baseline="0">
              <a:ea typeface="仿宋" panose="02010609060101010101" pitchFamily="3" charset="-122"/>
            </a:endParaRPr>
          </a:p>
        </c:rich>
      </c:tx>
      <c:layout>
        <c:manualLayout>
          <c:xMode val="edge"/>
          <c:yMode val="edge"/>
          <c:x val="0.158009259259259"/>
          <c:y val="0.0558659217877095"/>
        </c:manualLayout>
      </c:layout>
      <c:overlay val="0"/>
    </c:title>
    <c:autoTitleDeleted val="0"/>
    <c:plotArea>
      <c:layout>
        <c:manualLayout>
          <c:layoutTarget val="inner"/>
          <c:xMode val="edge"/>
          <c:yMode val="edge"/>
          <c:x val="0.325708843686213"/>
          <c:y val="0.294809014794938"/>
          <c:w val="0.357841571886861"/>
          <c:h val="0.575745098901744"/>
        </c:manualLayout>
      </c:layout>
      <c:pieChart>
        <c:varyColors val="1"/>
        <c:ser>
          <c:idx val="0"/>
          <c:order val="0"/>
          <c:tx>
            <c:strRef>
              <c:f>Sheet1!$B$1</c:f>
              <c:strCache>
                <c:ptCount val="1"/>
                <c:pt idx="0">
                  <c:v>2017年收入分部门完成情况</c:v>
                </c:pt>
              </c:strCache>
            </c:strRef>
          </c:tx>
          <c:explosion val="22"/>
          <c:dPt>
            <c:idx val="0"/>
            <c:bubble3D val="0"/>
            <c:explosion val="13"/>
          </c:dPt>
          <c:dPt>
            <c:idx val="1"/>
            <c:bubble3D val="0"/>
            <c:explosion val="11"/>
          </c:dPt>
          <c:dPt>
            <c:idx val="2"/>
            <c:bubble3D val="0"/>
            <c:explosion val="8"/>
          </c:dPt>
          <c:dLbls>
            <c:dLbl>
              <c:idx val="0"/>
              <c:layout>
                <c:manualLayout>
                  <c:x val="0.107245552639255"/>
                  <c:y val="0.0281637560668045"/>
                </c:manualLayout>
              </c:layout>
              <c:tx>
                <c:rich>
                  <a:bodyPr rot="0" spcFirstLastPara="0" vertOverflow="ellipsis" vert="horz" wrap="square" lIns="38100" tIns="19050" rIns="38100" bIns="19050" anchor="ctr" anchorCtr="1"/>
                  <a:lstStyle/>
                  <a:p>
                    <a:pPr>
                      <a:defRPr lang="zh-CN" sz="1100" b="0" i="0" u="none" strike="noStrike" kern="1200" baseline="0">
                        <a:solidFill>
                          <a:schemeClr val="tx1"/>
                        </a:solidFill>
                        <a:latin typeface="+mn-lt"/>
                        <a:ea typeface="仿宋" panose="02010609060101010101" pitchFamily="3" charset="-122"/>
                        <a:cs typeface="+mn-cs"/>
                      </a:defRPr>
                    </a:pPr>
                    <a:r>
                      <a:rPr lang="zh-CN" altLang="en-US" sz="1100" baseline="0">
                        <a:ea typeface="仿宋" panose="02010609060101010101" pitchFamily="3" charset="-122"/>
                      </a:rPr>
                      <a:t>国</a:t>
                    </a:r>
                    <a:r>
                      <a:rPr lang="zh-CN" altLang="en-US"/>
                      <a:t>税部门，</a:t>
                    </a:r>
                    <a:r>
                      <a:rPr lang="en-US" altLang="zh-CN"/>
                      <a:t>6021</a:t>
                    </a:r>
                    <a:endParaRPr lang="en-US" altLang="zh-CN"/>
                  </a:p>
                  <a:p>
                    <a:pPr>
                      <a:defRPr lang="zh-CN" sz="1100" b="0" i="0" u="none" strike="noStrike" kern="1200" baseline="0">
                        <a:solidFill>
                          <a:schemeClr val="tx1"/>
                        </a:solidFill>
                        <a:latin typeface="+mn-lt"/>
                        <a:ea typeface="仿宋" panose="02010609060101010101" pitchFamily="3" charset="-122"/>
                        <a:cs typeface="+mn-cs"/>
                      </a:defRPr>
                    </a:pPr>
                    <a:r>
                      <a:rPr lang="en-US" altLang="zh-CN"/>
                      <a:t>28%</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123760024788572"/>
                  <c:y val="-0.0216226044370152"/>
                </c:manualLayout>
              </c:layout>
              <c:tx>
                <c:rich>
                  <a:bodyPr rot="0" spcFirstLastPara="0" vertOverflow="ellipsis" vert="horz" wrap="square" lIns="38100" tIns="19050" rIns="38100" bIns="19050" anchor="ctr" anchorCtr="1"/>
                  <a:lstStyle/>
                  <a:p>
                    <a:pPr>
                      <a:defRPr lang="zh-CN" sz="1100" b="0" i="0" u="none" strike="noStrike" kern="1200" baseline="0">
                        <a:solidFill>
                          <a:schemeClr val="tx1"/>
                        </a:solidFill>
                        <a:latin typeface="+mn-lt"/>
                        <a:ea typeface="仿宋" panose="02010609060101010101" pitchFamily="3" charset="-122"/>
                        <a:cs typeface="+mn-cs"/>
                      </a:defRPr>
                    </a:pPr>
                    <a:r>
                      <a:rPr lang="zh-CN" altLang="en-US" sz="1100" baseline="0">
                        <a:ea typeface="仿宋" panose="02010609060101010101" pitchFamily="3" charset="-122"/>
                      </a:rPr>
                      <a:t>地</a:t>
                    </a:r>
                    <a:r>
                      <a:rPr lang="zh-CN" altLang="en-US"/>
                      <a:t>税部门，</a:t>
                    </a:r>
                    <a:r>
                      <a:rPr lang="en-US" altLang="zh-CN"/>
                      <a:t>13229</a:t>
                    </a:r>
                    <a:endParaRPr lang="en-US" altLang="zh-CN"/>
                  </a:p>
                  <a:p>
                    <a:pPr>
                      <a:defRPr lang="zh-CN" sz="1100" b="0" i="0" u="none" strike="noStrike" kern="1200" baseline="0">
                        <a:solidFill>
                          <a:schemeClr val="tx1"/>
                        </a:solidFill>
                        <a:latin typeface="+mn-lt"/>
                        <a:ea typeface="仿宋" panose="02010609060101010101" pitchFamily="3" charset="-122"/>
                        <a:cs typeface="+mn-cs"/>
                      </a:defRPr>
                    </a:pPr>
                    <a:r>
                      <a:rPr lang="en-US" altLang="zh-CN"/>
                      <a:t>61%</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127230788859726"/>
                  <c:y val="-0.0261393862080089"/>
                </c:manualLayout>
              </c:layout>
              <c:tx>
                <c:rich>
                  <a:bodyPr rot="0" spcFirstLastPara="0" vertOverflow="ellipsis" vert="horz" wrap="square" lIns="38100" tIns="19050" rIns="38100" bIns="19050" anchor="ctr" anchorCtr="1"/>
                  <a:lstStyle/>
                  <a:p>
                    <a:pPr>
                      <a:defRPr lang="zh-CN" sz="1100" b="0" i="0" u="none" strike="noStrike" kern="1200" baseline="0">
                        <a:solidFill>
                          <a:schemeClr val="tx1"/>
                        </a:solidFill>
                        <a:latin typeface="+mn-lt"/>
                        <a:ea typeface="仿宋" panose="02010609060101010101" pitchFamily="3" charset="-122"/>
                        <a:cs typeface="+mn-cs"/>
                      </a:defRPr>
                    </a:pPr>
                    <a:r>
                      <a:rPr lang="zh-CN" altLang="en-US" sz="1100" baseline="0">
                        <a:ea typeface="仿宋" panose="02010609060101010101" pitchFamily="3" charset="-122"/>
                      </a:rPr>
                      <a:t>财</a:t>
                    </a:r>
                    <a:r>
                      <a:rPr lang="zh-CN" altLang="en-US"/>
                      <a:t>政部门，</a:t>
                    </a:r>
                    <a:r>
                      <a:rPr lang="en-US" altLang="zh-CN"/>
                      <a:t>2441</a:t>
                    </a:r>
                    <a:endParaRPr lang="en-US" altLang="zh-CN"/>
                  </a:p>
                  <a:p>
                    <a:pPr>
                      <a:defRPr lang="zh-CN" sz="1100" b="0" i="0" u="none" strike="noStrike" kern="1200" baseline="0">
                        <a:solidFill>
                          <a:schemeClr val="tx1"/>
                        </a:solidFill>
                        <a:latin typeface="+mn-lt"/>
                        <a:ea typeface="仿宋" panose="02010609060101010101" pitchFamily="3" charset="-122"/>
                        <a:cs typeface="+mn-cs"/>
                      </a:defRPr>
                    </a:pPr>
                    <a:r>
                      <a:rPr lang="en-US" altLang="zh-CN"/>
                      <a:t>11%</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100" b="0" i="0" u="none" strike="noStrike" kern="1200" baseline="0">
                    <a:solidFill>
                      <a:schemeClr val="tx1"/>
                    </a:solidFill>
                    <a:latin typeface="+mn-lt"/>
                    <a:ea typeface="仿宋" panose="02010609060101010101" pitchFamily="3" charset="-122"/>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Sheet1!$A$2:$A$4</c:f>
              <c:strCache>
                <c:ptCount val="3"/>
                <c:pt idx="0">
                  <c:v>国税部门</c:v>
                </c:pt>
                <c:pt idx="1">
                  <c:v>地税部门</c:v>
                </c:pt>
                <c:pt idx="2">
                  <c:v>财政部门</c:v>
                </c:pt>
              </c:strCache>
            </c:strRef>
          </c:cat>
          <c:val>
            <c:numRef>
              <c:f>Sheet1!$B$2:$B$4</c:f>
              <c:numCache>
                <c:formatCode>General</c:formatCode>
                <c:ptCount val="3"/>
                <c:pt idx="0">
                  <c:v>6021</c:v>
                </c:pt>
                <c:pt idx="1">
                  <c:v>13229</c:v>
                </c:pt>
                <c:pt idx="2">
                  <c:v>2441</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spPr>
    <a:solidFill>
      <a:schemeClr val="accent1">
        <a:lumMod val="20000"/>
        <a:lumOff val="80000"/>
      </a:schemeClr>
    </a:solidFill>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600" baseline="0">
                <a:solidFill>
                  <a:schemeClr val="tx1"/>
                </a:solidFill>
                <a:latin typeface="仿宋" panose="02010609060101010101" pitchFamily="3" charset="-122"/>
                <a:ea typeface="仿宋" panose="02010609060101010101" pitchFamily="3" charset="-122"/>
                <a:cs typeface="+mn-cs"/>
              </a:defRPr>
            </a:pPr>
            <a:r>
              <a:rPr lang="en-US" altLang="zh-CN" sz="1600" kern="600" baseline="0">
                <a:latin typeface="仿宋" panose="02010609060101010101" pitchFamily="3" charset="-122"/>
                <a:ea typeface="仿宋" panose="02010609060101010101" pitchFamily="3" charset="-122"/>
              </a:rPr>
              <a:t>2017</a:t>
            </a:r>
            <a:r>
              <a:rPr lang="zh-CN" altLang="en-US" sz="1600" kern="600" baseline="0">
                <a:latin typeface="仿宋" panose="02010609060101010101" pitchFamily="3" charset="-122"/>
                <a:ea typeface="仿宋" panose="02010609060101010101" pitchFamily="3" charset="-122"/>
              </a:rPr>
              <a:t>年各税种占税收收入比重示意图</a:t>
            </a:r>
            <a:endParaRPr lang="zh-CN" altLang="en-US" sz="1600" kern="600" baseline="0">
              <a:latin typeface="仿宋" panose="02010609060101010101" pitchFamily="3" charset="-122"/>
              <a:ea typeface="仿宋" panose="02010609060101010101" pitchFamily="3" charset="-122"/>
            </a:endParaRPr>
          </a:p>
        </c:rich>
      </c:tx>
      <c:layout/>
      <c:overlay val="0"/>
    </c:title>
    <c:autoTitleDeleted val="0"/>
    <c:plotArea>
      <c:layout>
        <c:manualLayout>
          <c:layoutTarget val="inner"/>
          <c:xMode val="edge"/>
          <c:yMode val="edge"/>
          <c:x val="0.284946412948381"/>
          <c:y val="0.266203472533413"/>
          <c:w val="0.349088837853615"/>
          <c:h val="0.544919161527573"/>
        </c:manualLayout>
      </c:layout>
      <c:pieChart>
        <c:varyColors val="1"/>
        <c:ser>
          <c:idx val="0"/>
          <c:order val="0"/>
          <c:tx>
            <c:strRef>
              <c:f>Sheet1!$B$1</c:f>
              <c:strCache>
                <c:ptCount val="1"/>
                <c:pt idx="0">
                  <c:v>收入</c:v>
                </c:pt>
              </c:strCache>
            </c:strRef>
          </c:tx>
          <c:explosion val="2"/>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Pt>
            <c:idx val="8"/>
            <c:bubble3D val="0"/>
          </c:dPt>
          <c:dPt>
            <c:idx val="9"/>
            <c:bubble3D val="0"/>
          </c:dPt>
          <c:dPt>
            <c:idx val="10"/>
            <c:bubble3D val="0"/>
          </c:dPt>
          <c:dPt>
            <c:idx val="11"/>
            <c:bubble3D val="0"/>
          </c:dPt>
          <c:dLbls>
            <c:dLbl>
              <c:idx val="0"/>
              <c:layout>
                <c:manualLayout>
                  <c:x val="0.070867964421114"/>
                  <c:y val="-0.0291266030770544"/>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增值税，</a:t>
                    </a:r>
                    <a:r>
                      <a:rPr lang="en-US" altLang="zh-CN"/>
                      <a:t>24%</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494107247010791"/>
                  <c:y val="0.0280070275768375"/>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企业所得税，</a:t>
                    </a:r>
                    <a:r>
                      <a:rPr lang="en-US" altLang="zh-CN"/>
                      <a:t>14%</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90304206765821"/>
                  <c:y val="0.0375978205976286"/>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个人所得税，</a:t>
                    </a:r>
                    <a:r>
                      <a:rPr lang="en-US" altLang="zh-CN"/>
                      <a:t>5%</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43278834937303"/>
                  <c:y val="0.117705652647078"/>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资源税，</a:t>
                    </a:r>
                    <a:r>
                      <a:rPr lang="en-US" altLang="zh-CN"/>
                      <a:t>14%</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0886312728266738"/>
                  <c:y val="0.139452841122136"/>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城市维护建设，</a:t>
                    </a:r>
                    <a:r>
                      <a:rPr lang="en-US" altLang="zh-CN"/>
                      <a:t>2%</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5"/>
              <c:layout>
                <c:manualLayout>
                  <c:x val="-0.0709833406240887"/>
                  <c:y val="0.134677108450875"/>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房产税，</a:t>
                    </a:r>
                    <a:r>
                      <a:rPr lang="en-US" altLang="zh-CN"/>
                      <a:t>5%</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6"/>
              <c:layout>
                <c:manualLayout>
                  <c:x val="-0.067843394575678"/>
                  <c:y val="0.0929372852783645"/>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印花税，</a:t>
                    </a:r>
                    <a:r>
                      <a:rPr lang="en-US" altLang="zh-CN"/>
                      <a:t>1%</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7"/>
              <c:layout>
                <c:manualLayout>
                  <c:x val="-0.12683999119204"/>
                  <c:y val="0.0408570746838465"/>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城镇土地使用税，</a:t>
                    </a:r>
                    <a:r>
                      <a:rPr lang="en-US" altLang="zh-CN"/>
                      <a:t>3%</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8"/>
              <c:layout>
                <c:manualLayout>
                  <c:x val="-0.0746533762595008"/>
                  <c:y val="-0.00461260524252649"/>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土地增值税，</a:t>
                    </a:r>
                    <a:r>
                      <a:rPr lang="en-US" altLang="zh-CN"/>
                      <a:t>1%</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9"/>
              <c:layout>
                <c:manualLayout>
                  <c:x val="-0.112978000145815"/>
                  <c:y val="-0.0517488565961768"/>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车船税，</a:t>
                    </a:r>
                    <a:r>
                      <a:rPr lang="en-US" altLang="zh-CN"/>
                      <a:t>2%</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0"/>
              <c:layout>
                <c:manualLayout>
                  <c:x val="-0.0688832385535142"/>
                  <c:y val="-0.0817990027669306"/>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耕地占用税，</a:t>
                    </a:r>
                    <a:r>
                      <a:rPr lang="en-US" altLang="zh-CN"/>
                      <a:t>28%</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1"/>
              <c:layout>
                <c:manualLayout>
                  <c:x val="-0.00204742636337125"/>
                  <c:y val="-0.0848831700915434"/>
                </c:manualLayout>
              </c:layout>
              <c:tx>
                <c:rich>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r>
                      <a:rPr lang="zh-CN" altLang="en-US"/>
                      <a:t>契税，</a:t>
                    </a:r>
                    <a:r>
                      <a:rPr lang="en-US" altLang="zh-CN"/>
                      <a:t>1%</a:t>
                    </a:r>
                    <a:endParaRPr lang="zh-CN" altLang="en-US"/>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ext>
            </c:extLst>
          </c:dLbls>
          <c:cat>
            <c:strRef>
              <c:f>Sheet1!$A$2:$A$13</c:f>
              <c:strCache>
                <c:ptCount val="12"/>
                <c:pt idx="0">
                  <c:v>增值税</c:v>
                </c:pt>
                <c:pt idx="1">
                  <c:v>企业所得税</c:v>
                </c:pt>
                <c:pt idx="2">
                  <c:v>个人所得税</c:v>
                </c:pt>
                <c:pt idx="3">
                  <c:v>资源税</c:v>
                </c:pt>
                <c:pt idx="4">
                  <c:v>城市维护建设税</c:v>
                </c:pt>
                <c:pt idx="5">
                  <c:v>房产税</c:v>
                </c:pt>
                <c:pt idx="6">
                  <c:v>印花税</c:v>
                </c:pt>
                <c:pt idx="7">
                  <c:v>城镇土地使用税</c:v>
                </c:pt>
                <c:pt idx="8">
                  <c:v>土地增值税</c:v>
                </c:pt>
                <c:pt idx="9">
                  <c:v>车船税</c:v>
                </c:pt>
                <c:pt idx="10">
                  <c:v>耕地占用税</c:v>
                </c:pt>
                <c:pt idx="11">
                  <c:v>契税</c:v>
                </c:pt>
              </c:strCache>
            </c:strRef>
          </c:cat>
          <c:val>
            <c:numRef>
              <c:f>Sheet1!$B$2:$B$13</c:f>
              <c:numCache>
                <c:formatCode>General</c:formatCode>
                <c:ptCount val="12"/>
                <c:pt idx="0">
                  <c:v>4521</c:v>
                </c:pt>
                <c:pt idx="1">
                  <c:v>2575</c:v>
                </c:pt>
                <c:pt idx="2">
                  <c:v>918</c:v>
                </c:pt>
                <c:pt idx="3">
                  <c:v>2728</c:v>
                </c:pt>
                <c:pt idx="4">
                  <c:v>476</c:v>
                </c:pt>
                <c:pt idx="5">
                  <c:v>864</c:v>
                </c:pt>
                <c:pt idx="6">
                  <c:v>165</c:v>
                </c:pt>
                <c:pt idx="7">
                  <c:v>508</c:v>
                </c:pt>
                <c:pt idx="8">
                  <c:v>144</c:v>
                </c:pt>
                <c:pt idx="9">
                  <c:v>350</c:v>
                </c:pt>
                <c:pt idx="10">
                  <c:v>5171</c:v>
                </c:pt>
                <c:pt idx="11">
                  <c:v>241</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spPr>
    <a:solidFill>
      <a:srgbClr val="4F81BD">
        <a:lumMod val="20000"/>
        <a:lumOff val="80000"/>
        <a:alpha val="63000"/>
      </a:srgbClr>
    </a:solidFill>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1" i="0" u="none" strike="noStrike" kern="1200" baseline="0">
                <a:solidFill>
                  <a:schemeClr val="tx1"/>
                </a:solidFill>
                <a:latin typeface="仿宋" panose="02010609060101010101" pitchFamily="3" charset="-122"/>
                <a:ea typeface="仿宋" panose="02010609060101010101" pitchFamily="3" charset="-122"/>
                <a:cs typeface="+mn-cs"/>
              </a:defRPr>
            </a:pPr>
            <a:r>
              <a:rPr lang="en-US" altLang="zh-CN" sz="1600" baseline="0">
                <a:latin typeface="仿宋" panose="02010609060101010101" pitchFamily="3" charset="-122"/>
                <a:ea typeface="仿宋" panose="02010609060101010101" pitchFamily="3" charset="-122"/>
              </a:rPr>
              <a:t>2017</a:t>
            </a:r>
            <a:r>
              <a:rPr lang="zh-CN" altLang="en-US" sz="1600" baseline="0">
                <a:latin typeface="仿宋" panose="02010609060101010101" pitchFamily="3" charset="-122"/>
                <a:ea typeface="仿宋" panose="02010609060101010101" pitchFamily="3" charset="-122"/>
              </a:rPr>
              <a:t>年各税种同比增减情况示意图</a:t>
            </a:r>
            <a:endParaRPr lang="zh-CN" altLang="en-US" sz="1600" baseline="0">
              <a:latin typeface="仿宋" panose="02010609060101010101" pitchFamily="3" charset="-122"/>
              <a:ea typeface="仿宋" panose="02010609060101010101" pitchFamily="3" charset="-122"/>
            </a:endParaRPr>
          </a:p>
        </c:rich>
      </c:tx>
      <c:layout>
        <c:manualLayout>
          <c:xMode val="edge"/>
          <c:yMode val="edge"/>
          <c:x val="0.257128338531389"/>
          <c:y val="0.0196078431372549"/>
        </c:manualLayout>
      </c:layout>
      <c:overlay val="0"/>
    </c:title>
    <c:autoTitleDeleted val="0"/>
    <c:plotArea>
      <c:layout/>
      <c:barChart>
        <c:barDir val="col"/>
        <c:grouping val="clustered"/>
        <c:varyColors val="0"/>
        <c:ser>
          <c:idx val="0"/>
          <c:order val="0"/>
          <c:tx>
            <c:strRef>
              <c:f>Sheet1!$B$1</c:f>
              <c:strCache>
                <c:ptCount val="1"/>
                <c:pt idx="0">
                  <c:v>2016年</c:v>
                </c:pt>
              </c:strCache>
            </c:strRef>
          </c:tx>
          <c:spPr>
            <a:solidFill>
              <a:srgbClr val="00B050"/>
            </a:solidFill>
          </c:spPr>
          <c:invertIfNegative val="0"/>
          <c:dLbls>
            <c:delete val="1"/>
          </c:dLbls>
          <c:cat>
            <c:strRef>
              <c:f>Sheet1!$A$2:$A$13</c:f>
              <c:strCache>
                <c:ptCount val="12"/>
                <c:pt idx="0">
                  <c:v>增值税</c:v>
                </c:pt>
                <c:pt idx="1">
                  <c:v>企业所得税</c:v>
                </c:pt>
                <c:pt idx="2">
                  <c:v>个人所得税</c:v>
                </c:pt>
                <c:pt idx="3">
                  <c:v>资源税</c:v>
                </c:pt>
                <c:pt idx="4">
                  <c:v>城市维护建设税</c:v>
                </c:pt>
                <c:pt idx="5">
                  <c:v>房产税</c:v>
                </c:pt>
                <c:pt idx="6">
                  <c:v>印花税</c:v>
                </c:pt>
                <c:pt idx="7">
                  <c:v>城镇土地使用税</c:v>
                </c:pt>
                <c:pt idx="8">
                  <c:v>土地增值税</c:v>
                </c:pt>
                <c:pt idx="9">
                  <c:v>车船税</c:v>
                </c:pt>
                <c:pt idx="10">
                  <c:v>耕地占用税</c:v>
                </c:pt>
                <c:pt idx="11">
                  <c:v>契税</c:v>
                </c:pt>
              </c:strCache>
            </c:strRef>
          </c:cat>
          <c:val>
            <c:numRef>
              <c:f>Sheet1!$B$2:$B$13</c:f>
              <c:numCache>
                <c:formatCode>General</c:formatCode>
                <c:ptCount val="12"/>
                <c:pt idx="0">
                  <c:v>3804</c:v>
                </c:pt>
                <c:pt idx="1">
                  <c:v>2139</c:v>
                </c:pt>
                <c:pt idx="2">
                  <c:v>1195</c:v>
                </c:pt>
                <c:pt idx="3">
                  <c:v>2258</c:v>
                </c:pt>
                <c:pt idx="4">
                  <c:v>494</c:v>
                </c:pt>
                <c:pt idx="5">
                  <c:v>736</c:v>
                </c:pt>
                <c:pt idx="6">
                  <c:v>202</c:v>
                </c:pt>
                <c:pt idx="7">
                  <c:v>416</c:v>
                </c:pt>
                <c:pt idx="8">
                  <c:v>216</c:v>
                </c:pt>
                <c:pt idx="9">
                  <c:v>345</c:v>
                </c:pt>
                <c:pt idx="10">
                  <c:v>3234</c:v>
                </c:pt>
                <c:pt idx="11">
                  <c:v>247</c:v>
                </c:pt>
              </c:numCache>
            </c:numRef>
          </c:val>
        </c:ser>
        <c:ser>
          <c:idx val="1"/>
          <c:order val="1"/>
          <c:tx>
            <c:strRef>
              <c:f>Sheet1!$C$1</c:f>
              <c:strCache>
                <c:ptCount val="1"/>
                <c:pt idx="0">
                  <c:v>2017年</c:v>
                </c:pt>
              </c:strCache>
            </c:strRef>
          </c:tx>
          <c:spPr>
            <a:solidFill>
              <a:srgbClr val="FFFF00"/>
            </a:solidFill>
          </c:spPr>
          <c:invertIfNegative val="0"/>
          <c:dLbls>
            <c:delete val="1"/>
          </c:dLbls>
          <c:cat>
            <c:strRef>
              <c:f>Sheet1!$A$2:$A$13</c:f>
              <c:strCache>
                <c:ptCount val="12"/>
                <c:pt idx="0">
                  <c:v>增值税</c:v>
                </c:pt>
                <c:pt idx="1">
                  <c:v>企业所得税</c:v>
                </c:pt>
                <c:pt idx="2">
                  <c:v>个人所得税</c:v>
                </c:pt>
                <c:pt idx="3">
                  <c:v>资源税</c:v>
                </c:pt>
                <c:pt idx="4">
                  <c:v>城市维护建设税</c:v>
                </c:pt>
                <c:pt idx="5">
                  <c:v>房产税</c:v>
                </c:pt>
                <c:pt idx="6">
                  <c:v>印花税</c:v>
                </c:pt>
                <c:pt idx="7">
                  <c:v>城镇土地使用税</c:v>
                </c:pt>
                <c:pt idx="8">
                  <c:v>土地增值税</c:v>
                </c:pt>
                <c:pt idx="9">
                  <c:v>车船税</c:v>
                </c:pt>
                <c:pt idx="10">
                  <c:v>耕地占用税</c:v>
                </c:pt>
                <c:pt idx="11">
                  <c:v>契税</c:v>
                </c:pt>
              </c:strCache>
            </c:strRef>
          </c:cat>
          <c:val>
            <c:numRef>
              <c:f>Sheet1!$C$2:$C$13</c:f>
              <c:numCache>
                <c:formatCode>General</c:formatCode>
                <c:ptCount val="12"/>
                <c:pt idx="0">
                  <c:v>4521</c:v>
                </c:pt>
                <c:pt idx="1">
                  <c:v>2575</c:v>
                </c:pt>
                <c:pt idx="2">
                  <c:v>918</c:v>
                </c:pt>
                <c:pt idx="3">
                  <c:v>2728</c:v>
                </c:pt>
                <c:pt idx="4">
                  <c:v>476</c:v>
                </c:pt>
                <c:pt idx="5">
                  <c:v>864</c:v>
                </c:pt>
                <c:pt idx="6">
                  <c:v>165</c:v>
                </c:pt>
                <c:pt idx="7">
                  <c:v>508</c:v>
                </c:pt>
                <c:pt idx="8">
                  <c:v>144</c:v>
                </c:pt>
                <c:pt idx="9">
                  <c:v>350</c:v>
                </c:pt>
                <c:pt idx="10">
                  <c:v>5171</c:v>
                </c:pt>
                <c:pt idx="11">
                  <c:v>241</c:v>
                </c:pt>
              </c:numCache>
            </c:numRef>
          </c:val>
        </c:ser>
        <c:dLbls>
          <c:showLegendKey val="0"/>
          <c:showVal val="0"/>
          <c:showCatName val="0"/>
          <c:showSerName val="0"/>
          <c:showPercent val="0"/>
          <c:showBubbleSize val="0"/>
        </c:dLbls>
        <c:gapWidth val="150"/>
        <c:axId val="138410624"/>
        <c:axId val="138416512"/>
      </c:barChart>
      <c:lineChart>
        <c:grouping val="standard"/>
        <c:varyColors val="0"/>
        <c:ser>
          <c:idx val="2"/>
          <c:order val="2"/>
          <c:tx>
            <c:strRef>
              <c:f>Sheet1!$D$1</c:f>
              <c:strCache>
                <c:ptCount val="1"/>
                <c:pt idx="0">
                  <c:v>增减幅（%）</c:v>
                </c:pt>
              </c:strCache>
            </c:strRef>
          </c:tx>
          <c:spPr>
            <a:ln w="3175" cap="rnd" cmpd="sng" algn="ctr">
              <a:solidFill>
                <a:srgbClr val="FF0000"/>
              </a:solidFill>
              <a:prstDash val="solid"/>
              <a:round/>
            </a:ln>
          </c:spPr>
          <c:dLbls>
            <c:delete val="1"/>
          </c:dLbls>
          <c:cat>
            <c:strRef>
              <c:f>Sheet1!$A$2:$A$13</c:f>
              <c:strCache>
                <c:ptCount val="12"/>
                <c:pt idx="0">
                  <c:v>增值税</c:v>
                </c:pt>
                <c:pt idx="1">
                  <c:v>企业所得税</c:v>
                </c:pt>
                <c:pt idx="2">
                  <c:v>个人所得税</c:v>
                </c:pt>
                <c:pt idx="3">
                  <c:v>资源税</c:v>
                </c:pt>
                <c:pt idx="4">
                  <c:v>城市维护建设税</c:v>
                </c:pt>
                <c:pt idx="5">
                  <c:v>房产税</c:v>
                </c:pt>
                <c:pt idx="6">
                  <c:v>印花税</c:v>
                </c:pt>
                <c:pt idx="7">
                  <c:v>城镇土地使用税</c:v>
                </c:pt>
                <c:pt idx="8">
                  <c:v>土地增值税</c:v>
                </c:pt>
                <c:pt idx="9">
                  <c:v>车船税</c:v>
                </c:pt>
                <c:pt idx="10">
                  <c:v>耕地占用税</c:v>
                </c:pt>
                <c:pt idx="11">
                  <c:v>契税</c:v>
                </c:pt>
              </c:strCache>
            </c:strRef>
          </c:cat>
          <c:val>
            <c:numRef>
              <c:f>Sheet1!$D$2:$D$13</c:f>
              <c:numCache>
                <c:formatCode>0.0_ </c:formatCode>
                <c:ptCount val="12"/>
                <c:pt idx="0">
                  <c:v>18.8485804416404</c:v>
                </c:pt>
                <c:pt idx="1">
                  <c:v>20.3833567087424</c:v>
                </c:pt>
                <c:pt idx="2">
                  <c:v>-23.1799163179916</c:v>
                </c:pt>
                <c:pt idx="3">
                  <c:v>20.8148804251558</c:v>
                </c:pt>
                <c:pt idx="4">
                  <c:v>-3.64372469635636</c:v>
                </c:pt>
                <c:pt idx="5">
                  <c:v>17.3913043478261</c:v>
                </c:pt>
                <c:pt idx="6">
                  <c:v>-18.3168316831683</c:v>
                </c:pt>
                <c:pt idx="7">
                  <c:v>22.1153846153846</c:v>
                </c:pt>
                <c:pt idx="8">
                  <c:v>-33.3333333333333</c:v>
                </c:pt>
                <c:pt idx="9">
                  <c:v>1.44927536231884</c:v>
                </c:pt>
                <c:pt idx="10">
                  <c:v>59.8948670377229</c:v>
                </c:pt>
                <c:pt idx="11">
                  <c:v>-2.42914979757085</c:v>
                </c:pt>
              </c:numCache>
            </c:numRef>
          </c:val>
          <c:smooth val="0"/>
        </c:ser>
        <c:dLbls>
          <c:showLegendKey val="0"/>
          <c:showVal val="0"/>
          <c:showCatName val="0"/>
          <c:showSerName val="0"/>
          <c:showPercent val="0"/>
          <c:showBubbleSize val="0"/>
        </c:dLbls>
        <c:marker val="1"/>
        <c:smooth val="0"/>
        <c:axId val="138419584"/>
        <c:axId val="138418048"/>
      </c:lineChart>
      <c:catAx>
        <c:axId val="138410624"/>
        <c:scaling>
          <c:orientation val="minMax"/>
        </c:scaling>
        <c:delete val="0"/>
        <c:axPos val="b"/>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416512"/>
        <c:crosses val="autoZero"/>
        <c:auto val="1"/>
        <c:lblAlgn val="ctr"/>
        <c:lblOffset val="100"/>
        <c:noMultiLvlLbl val="0"/>
      </c:catAx>
      <c:valAx>
        <c:axId val="138416512"/>
        <c:scaling>
          <c:orientation val="minMax"/>
          <c:max val="8000"/>
          <c:min val="0"/>
        </c:scaling>
        <c:delete val="0"/>
        <c:axPos val="l"/>
        <c:majorGridlines/>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410624"/>
        <c:crosses val="autoZero"/>
        <c:crossBetween val="between"/>
        <c:majorUnit val="2000"/>
        <c:minorUnit val="200"/>
      </c:valAx>
      <c:catAx>
        <c:axId val="138419584"/>
        <c:scaling>
          <c:orientation val="minMax"/>
        </c:scaling>
        <c:delete val="1"/>
        <c:axPos val="b"/>
        <c:majorTickMark val="out"/>
        <c:minorTickMark val="none"/>
        <c:tickLblPos val="none"/>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418048"/>
        <c:crosses val="autoZero"/>
        <c:auto val="1"/>
        <c:lblAlgn val="ctr"/>
        <c:lblOffset val="100"/>
        <c:noMultiLvlLbl val="0"/>
      </c:catAx>
      <c:valAx>
        <c:axId val="138418048"/>
        <c:scaling>
          <c:orientation val="minMax"/>
        </c:scaling>
        <c:delete val="0"/>
        <c:axPos val="r"/>
        <c:numFmt formatCode="0.0_ "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419584"/>
        <c:crosses val="max"/>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solidFill>
          <a:srgbClr val="1F497D">
            <a:lumMod val="20000"/>
            <a:lumOff val="80000"/>
            <a:alpha val="0"/>
          </a:srgbClr>
        </a:solidFill>
      </c:spPr>
    </c:plotArea>
    <c:plotVisOnly val="1"/>
    <c:dispBlanksAs val="gap"/>
    <c:showDLblsOverMax val="0"/>
  </c:chart>
  <c:spPr>
    <a:solidFill>
      <a:srgbClr val="1F497D">
        <a:lumMod val="20000"/>
        <a:lumOff val="80000"/>
        <a:alpha val="36000"/>
      </a:srgbClr>
    </a:solidFill>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t>2017</a:t>
            </a:r>
            <a:r>
              <a:rPr lang="zh-CN"/>
              <a:t>年可用财力构成图</a:t>
            </a:r>
            <a:r>
              <a:rPr lang="zh-CN" sz="1400"/>
              <a:t>（单位：万元）</a:t>
            </a:r>
            <a:endParaRPr lang="zh-CN" sz="1400"/>
          </a:p>
        </c:rich>
      </c:tx>
      <c:layout/>
      <c:overlay val="1"/>
    </c:title>
    <c:autoTitleDeleted val="0"/>
    <c:plotArea>
      <c:layout>
        <c:manualLayout>
          <c:layoutTarget val="inner"/>
          <c:xMode val="edge"/>
          <c:yMode val="edge"/>
          <c:x val="0.222222222222222"/>
          <c:y val="0.153769841269842"/>
          <c:w val="0.673611111111122"/>
          <c:h val="0.648809523809535"/>
        </c:manualLayout>
      </c:layout>
      <c:pieChart>
        <c:varyColors val="1"/>
        <c:ser>
          <c:idx val="0"/>
          <c:order val="0"/>
          <c:tx>
            <c:strRef>
              <c:f>Sheet1!$B$1</c:f>
              <c:strCache>
                <c:ptCount val="1"/>
                <c:pt idx="0">
                  <c:v>收入</c:v>
                </c:pt>
              </c:strCache>
            </c:strRef>
          </c:tx>
          <c:explosion val="15"/>
          <c:dPt>
            <c:idx val="0"/>
            <c:bubble3D val="0"/>
          </c:dPt>
          <c:dPt>
            <c:idx val="1"/>
            <c:bubble3D val="0"/>
          </c:dPt>
          <c:dPt>
            <c:idx val="2"/>
            <c:bubble3D val="0"/>
          </c:dPt>
          <c:dPt>
            <c:idx val="3"/>
            <c:bubble3D val="0"/>
          </c:dPt>
          <c:dPt>
            <c:idx val="4"/>
            <c:bubble3D val="0"/>
          </c:dPt>
          <c:dPt>
            <c:idx val="5"/>
            <c:bubble3D val="0"/>
          </c:dPt>
          <c:dLbls>
            <c:dLbl>
              <c:idx val="0"/>
              <c:layout>
                <c:manualLayout>
                  <c:x val="0.0421156860600758"/>
                  <c:y val="0.0936395450568706"/>
                </c:manualLayout>
              </c:layout>
              <c:tx>
                <c:rich>
                  <a:bodyPr rot="0" spcFirstLastPara="0" vertOverflow="ellipsis" vert="horz" wrap="square" lIns="38100" tIns="19050" rIns="38100" bIns="19050" anchor="ctr" anchorCtr="1"/>
                  <a:lstStyle/>
                  <a:p>
                    <a:pPr>
                      <a:defRPr lang="zh-CN" sz="1200" b="1" i="0" u="none" strike="noStrike" kern="1200" baseline="0">
                        <a:solidFill>
                          <a:schemeClr val="tx1"/>
                        </a:solidFill>
                        <a:latin typeface="仿宋" panose="02010609060101010101" pitchFamily="3" charset="-122"/>
                        <a:ea typeface="仿宋" panose="02010609060101010101" pitchFamily="3" charset="-122"/>
                        <a:cs typeface="+mn-cs"/>
                      </a:defRPr>
                    </a:pPr>
                    <a:r>
                      <a:rPr lang="zh-CN" altLang="en-US" sz="1200" b="1">
                        <a:latin typeface="仿宋" panose="02010609060101010101" pitchFamily="3" charset="-122"/>
                        <a:ea typeface="仿宋" panose="02010609060101010101" pitchFamily="3" charset="-122"/>
                      </a:rPr>
                      <a:t>地</a:t>
                    </a:r>
                    <a:r>
                      <a:rPr lang="zh-CN" altLang="en-US"/>
                      <a:t>方财政收入</a:t>
                    </a:r>
                    <a:r>
                      <a:rPr lang="en-US" altLang="zh-CN"/>
                      <a:t>, 22596</a:t>
                    </a:r>
                    <a:r>
                      <a:rPr lang="zh-CN" altLang="en-US"/>
                      <a:t>，</a:t>
                    </a:r>
                    <a:r>
                      <a:rPr lang="en-US" altLang="zh-CN"/>
                      <a:t>12.7%</a:t>
                    </a:r>
                    <a:endParaRPr lang="en-US" altLang="zh-CN"/>
                  </a:p>
                </c:rich>
              </c:tx>
              <c:dLblPos val="bestFit"/>
              <c:showLegendKey val="0"/>
              <c:showVal val="1"/>
              <c:showCatName val="1"/>
              <c:showSerName val="0"/>
              <c:showPercent val="0"/>
              <c:showBubbleSize val="0"/>
              <c:extLst>
                <c:ext xmlns:c15="http://schemas.microsoft.com/office/drawing/2012/chart" uri="{CE6537A1-D6FC-4f65-9D91-7224C49458BB}">
                  <c15:layout/>
                </c:ext>
              </c:extLst>
            </c:dLbl>
            <c:dLbl>
              <c:idx val="1"/>
              <c:layout>
                <c:manualLayout>
                  <c:x val="-0.0806550743657048"/>
                  <c:y val="0.0927587176602925"/>
                </c:manualLayout>
              </c:layout>
              <c:tx>
                <c:rich>
                  <a:bodyPr rot="0" spcFirstLastPara="0" vertOverflow="ellipsis" vert="horz" wrap="square" lIns="38100" tIns="19050" rIns="38100" bIns="19050" anchor="ctr" anchorCtr="1"/>
                  <a:lstStyle/>
                  <a:p>
                    <a:pPr>
                      <a:defRPr lang="zh-CN" sz="1200" b="1" i="0" u="none" strike="noStrike" kern="1200" baseline="0">
                        <a:solidFill>
                          <a:schemeClr val="tx1"/>
                        </a:solidFill>
                        <a:latin typeface="仿宋" panose="02010609060101010101" pitchFamily="3" charset="-122"/>
                        <a:ea typeface="仿宋" panose="02010609060101010101" pitchFamily="3" charset="-122"/>
                        <a:cs typeface="+mn-cs"/>
                      </a:defRPr>
                    </a:pPr>
                    <a:r>
                      <a:rPr lang="zh-CN" altLang="en-US" sz="1200" b="1">
                        <a:latin typeface="仿宋" panose="02010609060101010101" pitchFamily="3" charset="-122"/>
                        <a:ea typeface="仿宋" panose="02010609060101010101" pitchFamily="3" charset="-122"/>
                      </a:rPr>
                      <a:t>调</a:t>
                    </a:r>
                    <a:r>
                      <a:rPr lang="zh-CN" altLang="en-US"/>
                      <a:t>入资金</a:t>
                    </a:r>
                    <a:r>
                      <a:rPr lang="en-US" altLang="zh-CN"/>
                      <a:t>, 145</a:t>
                    </a:r>
                    <a:r>
                      <a:rPr lang="zh-CN" altLang="en-US"/>
                      <a:t>，</a:t>
                    </a:r>
                    <a:r>
                      <a:rPr lang="en-US" altLang="zh-CN"/>
                      <a:t>0.1%</a:t>
                    </a:r>
                    <a:endParaRPr lang="en-US" altLang="zh-CN"/>
                  </a:p>
                </c:rich>
              </c:tx>
              <c:dLblPos val="bestFit"/>
              <c:showLegendKey val="0"/>
              <c:showVal val="1"/>
              <c:showCatName val="1"/>
              <c:showSerName val="0"/>
              <c:showPercent val="0"/>
              <c:showBubbleSize val="0"/>
              <c:extLst>
                <c:ext xmlns:c15="http://schemas.microsoft.com/office/drawing/2012/chart" uri="{CE6537A1-D6FC-4f65-9D91-7224C49458BB}">
                  <c15:layout/>
                </c:ext>
              </c:extLst>
            </c:dLbl>
            <c:dLbl>
              <c:idx val="2"/>
              <c:layout>
                <c:manualLayout>
                  <c:x val="-0.0842146033829105"/>
                  <c:y val="-0.0180621172353456"/>
                </c:manualLayout>
              </c:layout>
              <c:tx>
                <c:rich>
                  <a:bodyPr rot="0" spcFirstLastPara="0" vertOverflow="ellipsis" vert="horz" wrap="square" lIns="38100" tIns="19050" rIns="38100" bIns="19050" anchor="ctr" anchorCtr="1"/>
                  <a:lstStyle/>
                  <a:p>
                    <a:pPr>
                      <a:defRPr lang="zh-CN" sz="1200" b="1" i="0" u="none" strike="noStrike" kern="1200" baseline="0">
                        <a:solidFill>
                          <a:schemeClr val="tx1"/>
                        </a:solidFill>
                        <a:latin typeface="仿宋" panose="02010609060101010101" pitchFamily="3" charset="-122"/>
                        <a:ea typeface="仿宋" panose="02010609060101010101" pitchFamily="3" charset="-122"/>
                        <a:cs typeface="+mn-cs"/>
                      </a:defRPr>
                    </a:pPr>
                    <a:r>
                      <a:rPr lang="zh-CN" altLang="en-US" sz="1200" b="1">
                        <a:latin typeface="仿宋" panose="02010609060101010101" pitchFamily="3" charset="-122"/>
                        <a:ea typeface="仿宋" panose="02010609060101010101" pitchFamily="3" charset="-122"/>
                      </a:rPr>
                      <a:t>债</a:t>
                    </a:r>
                    <a:r>
                      <a:rPr lang="zh-CN" altLang="en-US"/>
                      <a:t>务转贷收入</a:t>
                    </a:r>
                    <a:r>
                      <a:rPr lang="en-US" altLang="zh-CN"/>
                      <a:t>, 26895</a:t>
                    </a:r>
                    <a:r>
                      <a:rPr lang="zh-CN" altLang="en-US"/>
                      <a:t>，</a:t>
                    </a:r>
                    <a:r>
                      <a:rPr lang="en-US" altLang="zh-CN"/>
                      <a:t>15.2%</a:t>
                    </a:r>
                    <a:endParaRPr lang="en-US" altLang="zh-CN"/>
                  </a:p>
                </c:rich>
              </c:tx>
              <c:dLblPos val="bestFit"/>
              <c:showLegendKey val="0"/>
              <c:showVal val="1"/>
              <c:showCatName val="1"/>
              <c:showSerName val="0"/>
              <c:showPercent val="0"/>
              <c:showBubbleSize val="0"/>
              <c:extLst>
                <c:ext xmlns:c15="http://schemas.microsoft.com/office/drawing/2012/chart" uri="{CE6537A1-D6FC-4f65-9D91-7224C49458BB}">
                  <c15:layout/>
                </c:ext>
              </c:extLst>
            </c:dLbl>
            <c:dLbl>
              <c:idx val="3"/>
              <c:layout>
                <c:manualLayout>
                  <c:x val="-0.0552323016914552"/>
                  <c:y val="-0.115663667041622"/>
                </c:manualLayout>
              </c:layout>
              <c:tx>
                <c:rich>
                  <a:bodyPr rot="0" spcFirstLastPara="0" vertOverflow="ellipsis" vert="horz" wrap="square" lIns="38100" tIns="19050" rIns="38100" bIns="19050" anchor="ctr" anchorCtr="1"/>
                  <a:lstStyle/>
                  <a:p>
                    <a:pPr>
                      <a:defRPr lang="zh-CN" sz="1200" b="1" i="0" u="none" strike="noStrike" kern="1200" baseline="0">
                        <a:solidFill>
                          <a:schemeClr val="tx1"/>
                        </a:solidFill>
                        <a:latin typeface="仿宋" panose="02010609060101010101" pitchFamily="3" charset="-122"/>
                        <a:ea typeface="仿宋" panose="02010609060101010101" pitchFamily="3" charset="-122"/>
                        <a:cs typeface="+mn-cs"/>
                      </a:defRPr>
                    </a:pPr>
                    <a:r>
                      <a:rPr lang="zh-CN" altLang="en-US" sz="1200" b="1" baseline="0">
                        <a:latin typeface="仿宋" panose="02010609060101010101" pitchFamily="3" charset="-122"/>
                        <a:ea typeface="仿宋" panose="02010609060101010101" pitchFamily="3" charset="-122"/>
                      </a:rPr>
                      <a:t>预</a:t>
                    </a:r>
                    <a:r>
                      <a:rPr lang="zh-CN" altLang="en-US" sz="1100" baseline="0"/>
                      <a:t>算稳定调节基金</a:t>
                    </a:r>
                    <a:r>
                      <a:rPr lang="en-US" altLang="zh-CN" sz="1100" baseline="0"/>
                      <a:t>, 174</a:t>
                    </a:r>
                    <a:r>
                      <a:rPr lang="zh-CN" altLang="en-US" sz="1100" baseline="0"/>
                      <a:t>，</a:t>
                    </a:r>
                    <a:r>
                      <a:rPr lang="en-US" altLang="zh-CN" sz="1100" baseline="0"/>
                      <a:t>0.1%</a:t>
                    </a:r>
                    <a:endParaRPr lang="en-US" altLang="zh-CN" sz="1100" baseline="0"/>
                  </a:p>
                </c:rich>
              </c:tx>
              <c:dLblPos val="bestFit"/>
              <c:showLegendKey val="0"/>
              <c:showVal val="1"/>
              <c:showCatName val="1"/>
              <c:showSerName val="0"/>
              <c:showPercent val="0"/>
              <c:showBubbleSize val="0"/>
              <c:extLst>
                <c:ext xmlns:c15="http://schemas.microsoft.com/office/drawing/2012/chart" uri="{CE6537A1-D6FC-4f65-9D91-7224C49458BB}">
                  <c15:layout/>
                </c:ext>
              </c:extLst>
            </c:dLbl>
            <c:dLbl>
              <c:idx val="4"/>
              <c:layout>
                <c:manualLayout>
                  <c:x val="0.0604893975881881"/>
                  <c:y val="-0.0242050944676302"/>
                </c:manualLayout>
              </c:layout>
              <c:tx>
                <c:rich>
                  <a:bodyPr rot="0" spcFirstLastPara="0" vertOverflow="ellipsis" vert="horz" wrap="square" lIns="38100" tIns="19050" rIns="38100" bIns="19050" anchor="ctr" anchorCtr="1"/>
                  <a:lstStyle/>
                  <a:p>
                    <a:pPr>
                      <a:defRPr lang="zh-CN" sz="1200" b="1" i="0" u="none" strike="noStrike" kern="1200" baseline="0">
                        <a:solidFill>
                          <a:schemeClr val="tx1"/>
                        </a:solidFill>
                        <a:latin typeface="仿宋" panose="02010609060101010101" pitchFamily="3" charset="-122"/>
                        <a:ea typeface="仿宋" panose="02010609060101010101" pitchFamily="3" charset="-122"/>
                        <a:cs typeface="+mn-cs"/>
                      </a:defRPr>
                    </a:pPr>
                    <a:r>
                      <a:rPr lang="zh-CN" altLang="en-US" sz="1200" b="1" baseline="0">
                        <a:latin typeface="仿宋" panose="02010609060101010101" pitchFamily="3" charset="-122"/>
                        <a:ea typeface="仿宋" panose="02010609060101010101" pitchFamily="3" charset="-122"/>
                      </a:rPr>
                      <a:t>上</a:t>
                    </a:r>
                    <a:r>
                      <a:rPr lang="zh-CN" altLang="en-US"/>
                      <a:t>级补助收入</a:t>
                    </a:r>
                    <a:r>
                      <a:rPr lang="en-US" altLang="zh-CN"/>
                      <a:t>, 127010</a:t>
                    </a:r>
                    <a:r>
                      <a:rPr lang="zh-CN" altLang="en-US"/>
                      <a:t>，</a:t>
                    </a:r>
                    <a:r>
                      <a:rPr lang="en-US" altLang="zh-CN"/>
                      <a:t>71.6%</a:t>
                    </a:r>
                    <a:endParaRPr lang="en-US" altLang="zh-CN"/>
                  </a:p>
                </c:rich>
              </c:tx>
              <c:dLblPos val="bestFit"/>
              <c:showLegendKey val="0"/>
              <c:showVal val="1"/>
              <c:showCatName val="1"/>
              <c:showSerName val="0"/>
              <c:showPercent val="0"/>
              <c:showBubbleSize val="0"/>
              <c:extLst>
                <c:ext xmlns:c15="http://schemas.microsoft.com/office/drawing/2012/chart" uri="{CE6537A1-D6FC-4f65-9D91-7224C49458BB}">
                  <c15:layout/>
                </c:ext>
              </c:extLst>
            </c:dLbl>
            <c:dLbl>
              <c:idx val="5"/>
              <c:layout>
                <c:manualLayout>
                  <c:x val="0.136883242499542"/>
                  <c:y val="0.0572326734185603"/>
                </c:manualLayout>
              </c:layout>
              <c:tx>
                <c:rich>
                  <a:bodyPr rot="0" spcFirstLastPara="0" vertOverflow="ellipsis" vert="horz" wrap="square" lIns="38100" tIns="19050" rIns="38100" bIns="19050" anchor="ctr" anchorCtr="1"/>
                  <a:lstStyle/>
                  <a:p>
                    <a:pPr>
                      <a:defRPr lang="zh-CN" sz="1200" b="1" i="0" u="none" strike="noStrike" kern="1200" baseline="0">
                        <a:solidFill>
                          <a:schemeClr val="tx1"/>
                        </a:solidFill>
                        <a:latin typeface="仿宋" panose="02010609060101010101" pitchFamily="3" charset="-122"/>
                        <a:ea typeface="仿宋" panose="02010609060101010101" pitchFamily="3" charset="-122"/>
                        <a:cs typeface="+mn-cs"/>
                      </a:defRPr>
                    </a:pPr>
                    <a:r>
                      <a:rPr lang="zh-CN" altLang="en-US" sz="1200" b="1">
                        <a:latin typeface="仿宋" panose="02010609060101010101" pitchFamily="3" charset="-122"/>
                        <a:ea typeface="仿宋" panose="02010609060101010101" pitchFamily="3" charset="-122"/>
                      </a:rPr>
                      <a:t>上</a:t>
                    </a:r>
                    <a:r>
                      <a:rPr lang="zh-CN" altLang="en-US"/>
                      <a:t>年结余</a:t>
                    </a:r>
                    <a:r>
                      <a:rPr lang="en-US" altLang="zh-CN"/>
                      <a:t>, 488</a:t>
                    </a:r>
                    <a:r>
                      <a:rPr lang="zh-CN" altLang="en-US"/>
                      <a:t>，</a:t>
                    </a:r>
                    <a:r>
                      <a:rPr lang="en-US" altLang="zh-CN"/>
                      <a:t>0.3%</a:t>
                    </a:r>
                    <a:endParaRPr lang="en-US" altLang="zh-CN"/>
                  </a:p>
                </c:rich>
              </c:tx>
              <c:dLblPos val="bestFit"/>
              <c:showLegendKey val="0"/>
              <c:showVal val="1"/>
              <c:showCatName val="1"/>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200" b="1" i="0" u="none" strike="noStrike" kern="1200" baseline="0">
                    <a:solidFill>
                      <a:schemeClr val="tx1"/>
                    </a:solidFill>
                    <a:latin typeface="仿宋" panose="02010609060101010101" pitchFamily="3" charset="-122"/>
                    <a:ea typeface="仿宋" panose="02010609060101010101" pitchFamily="3" charset="-122"/>
                    <a:cs typeface="+mn-cs"/>
                  </a:defRPr>
                </a:pPr>
              </a:p>
            </c:txPr>
            <c:dLblPos val="bestFit"/>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ext>
            </c:extLst>
          </c:dLbls>
          <c:cat>
            <c:strRef>
              <c:f>Sheet1!$A$2:$A$7</c:f>
              <c:strCache>
                <c:ptCount val="6"/>
                <c:pt idx="0">
                  <c:v>地方财政收入</c:v>
                </c:pt>
                <c:pt idx="1">
                  <c:v>调入资金</c:v>
                </c:pt>
                <c:pt idx="2">
                  <c:v>债务转贷收入</c:v>
                </c:pt>
                <c:pt idx="3">
                  <c:v>预算稳定调节基金</c:v>
                </c:pt>
                <c:pt idx="4">
                  <c:v>上级补助收入</c:v>
                </c:pt>
                <c:pt idx="5">
                  <c:v>上年结余</c:v>
                </c:pt>
              </c:strCache>
            </c:strRef>
          </c:cat>
          <c:val>
            <c:numRef>
              <c:f>Sheet1!$B$2:$B$7</c:f>
              <c:numCache>
                <c:formatCode>General</c:formatCode>
                <c:ptCount val="6"/>
                <c:pt idx="0">
                  <c:v>22596</c:v>
                </c:pt>
                <c:pt idx="1">
                  <c:v>145</c:v>
                </c:pt>
                <c:pt idx="2">
                  <c:v>26895</c:v>
                </c:pt>
                <c:pt idx="3">
                  <c:v>174</c:v>
                </c:pt>
                <c:pt idx="4">
                  <c:v>127010</c:v>
                </c:pt>
                <c:pt idx="5">
                  <c:v>488</c:v>
                </c:pt>
              </c:numCache>
            </c:numRef>
          </c:val>
        </c:ser>
        <c:dLbls>
          <c:showLegendKey val="0"/>
          <c:showVal val="1"/>
          <c:showCatName val="1"/>
          <c:showSerName val="0"/>
          <c:showPercent val="0"/>
          <c:showBubbleSize val="0"/>
          <c:showLeaderLines val="1"/>
        </c:dLbls>
        <c:firstSliceAng val="170"/>
      </c:pieChart>
      <c:spPr>
        <a:noFill/>
        <a:ln>
          <a:noFill/>
        </a:ln>
        <a:effectLst/>
      </c:spPr>
    </c:plotArea>
    <c:plotVisOnly val="1"/>
    <c:dispBlanksAs val="gap"/>
    <c:showDLblsOverMax val="0"/>
  </c:chart>
  <c:spPr>
    <a:gradFill flip="none" rotWithShape="1">
      <a:gsLst>
        <a:gs pos="0">
          <a:schemeClr val="accent5">
            <a:lumMod val="20000"/>
            <a:lumOff val="80000"/>
          </a:schemeClr>
        </a:gs>
        <a:gs pos="50000">
          <a:srgbClr val="4F81BD">
            <a:tint val="44500"/>
            <a:satMod val="160000"/>
          </a:srgbClr>
        </a:gs>
        <a:gs pos="100000">
          <a:srgbClr val="4F81BD">
            <a:tint val="23500"/>
            <a:satMod val="160000"/>
          </a:srgbClr>
        </a:gs>
      </a:gsLst>
      <a:path path="circle">
        <a:fillToRect l="100000" t="100000"/>
      </a:path>
      <a:tileRect r="-100000" b="-100000"/>
    </a:gradFill>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rot="0" spcFirstLastPara="0" vertOverflow="ellipsis" vert="horz" wrap="square" anchor="ctr" anchorCtr="1"/>
          <a:lstStyle/>
          <a:p>
            <a:pPr>
              <a:defRPr lang="zh-CN" sz="1600" b="1" i="0" u="none" strike="noStrike" kern="1200" baseline="0">
                <a:solidFill>
                  <a:schemeClr val="dk1"/>
                </a:solidFill>
                <a:latin typeface="+mn-lt"/>
                <a:ea typeface="+mn-ea"/>
                <a:cs typeface="+mn-cs"/>
              </a:defRPr>
            </a:pPr>
            <a:r>
              <a:rPr lang="en-US" altLang="zh-CN" sz="1600"/>
              <a:t>2017</a:t>
            </a:r>
            <a:r>
              <a:rPr lang="zh-CN" altLang="en-US" sz="1600"/>
              <a:t>年一般公共预算支出比重图（单位：万元）</a:t>
            </a:r>
            <a:endParaRPr lang="zh-CN" altLang="en-US" sz="1600"/>
          </a:p>
        </c:rich>
      </c:tx>
      <c:layout/>
      <c:overlay val="0"/>
    </c:title>
    <c:autoTitleDeleted val="0"/>
    <c:plotArea>
      <c:layout>
        <c:manualLayout>
          <c:layoutTarget val="inner"/>
          <c:xMode val="edge"/>
          <c:yMode val="edge"/>
          <c:x val="0.164351851851852"/>
          <c:y val="0.354916368101807"/>
          <c:w val="0.546296296296297"/>
          <c:h val="0.419730245801537"/>
        </c:manualLayout>
      </c:layout>
      <c:pieChart>
        <c:varyColors val="1"/>
        <c:ser>
          <c:idx val="0"/>
          <c:order val="0"/>
          <c:tx>
            <c:strRef>
              <c:f>Sheet1!$B$1</c:f>
              <c:strCache>
                <c:ptCount val="1"/>
                <c:pt idx="0">
                  <c:v>2017年一般公共预算支出情况（单位：万元）</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Pt>
            <c:idx val="8"/>
            <c:bubble3D val="0"/>
          </c:dPt>
          <c:dPt>
            <c:idx val="9"/>
            <c:bubble3D val="0"/>
          </c:dPt>
          <c:dPt>
            <c:idx val="10"/>
            <c:bubble3D val="0"/>
          </c:dPt>
          <c:dPt>
            <c:idx val="11"/>
            <c:bubble3D val="0"/>
          </c:dPt>
          <c:dPt>
            <c:idx val="12"/>
            <c:bubble3D val="0"/>
          </c:dPt>
          <c:dPt>
            <c:idx val="13"/>
            <c:bubble3D val="0"/>
          </c:dPt>
          <c:dPt>
            <c:idx val="14"/>
            <c:bubble3D val="0"/>
          </c:dPt>
          <c:dPt>
            <c:idx val="15"/>
            <c:bubble3D val="0"/>
          </c:dPt>
          <c:dPt>
            <c:idx val="16"/>
            <c:bubble3D val="0"/>
          </c:dPt>
          <c:dPt>
            <c:idx val="17"/>
            <c:bubble3D val="0"/>
          </c:dPt>
          <c:dPt>
            <c:idx val="18"/>
            <c:bubble3D val="0"/>
          </c:dPt>
          <c:dPt>
            <c:idx val="19"/>
            <c:bubble3D val="0"/>
          </c:dPt>
          <c:dLbls>
            <c:dLbl>
              <c:idx val="0"/>
              <c:layout>
                <c:manualLayout>
                  <c:x val="0.0358395304753577"/>
                  <c:y val="0.17720867153816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0939289880431614"/>
                  <c:y val="0.22180515353318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0791497156605424"/>
                  <c:y val="0.13887793588783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3"/>
              <c:layout>
                <c:manualLayout>
                  <c:x val="-0.197591498979294"/>
                  <c:y val="0.11989535809892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4"/>
              <c:layout>
                <c:manualLayout>
                  <c:x val="-0.147891878098571"/>
                  <c:y val="0.0942728174402364"/>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5"/>
              <c:layout>
                <c:manualLayout>
                  <c:x val="-0.0679529381743949"/>
                  <c:y val="0.123298854995311"/>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6"/>
              <c:layout>
                <c:manualLayout>
                  <c:x val="-0.0530972951297755"/>
                  <c:y val="0.0220008231618863"/>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7"/>
              <c:layout>
                <c:manualLayout>
                  <c:x val="-0.0449779454651501"/>
                  <c:y val="0.010982598897502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8"/>
              <c:layout>
                <c:manualLayout>
                  <c:x val="-0.0800258821813958"/>
                  <c:y val="0.0084780276501427"/>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9"/>
              <c:layout>
                <c:manualLayout>
                  <c:x val="-0.128806138815981"/>
                  <c:y val="-0.092714477528355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0"/>
              <c:layout>
                <c:manualLayout>
                  <c:x val="-0.0802832458442695"/>
                  <c:y val="-0.117802832486556"/>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1"/>
              <c:layout>
                <c:manualLayout>
                  <c:x val="0.014744094488189"/>
                  <c:y val="-0.157239843734188"/>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2"/>
              <c:layout>
                <c:manualLayout>
                  <c:x val="0.000522929425488488"/>
                  <c:y val="-0.0423958059227172"/>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3"/>
              <c:layout>
                <c:manualLayout>
                  <c:x val="0.0106191673957422"/>
                  <c:y val="-0.129767018197277"/>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4"/>
              <c:layout>
                <c:manualLayout>
                  <c:x val="0.0729839238845145"/>
                  <c:y val="-0.0949318867275267"/>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5"/>
              <c:layout>
                <c:manualLayout>
                  <c:x val="0.160252806940801"/>
                  <c:y val="-0.109928276960239"/>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6"/>
              <c:layout>
                <c:manualLayout>
                  <c:x val="0.156298665791776"/>
                  <c:y val="-0.0356094434211148"/>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7"/>
              <c:layout>
                <c:manualLayout>
                  <c:x val="0.155539698162732"/>
                  <c:y val="0.00246705665647837"/>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8"/>
              <c:layout>
                <c:manualLayout>
                  <c:x val="0.110869422572178"/>
                  <c:y val="0.0650430135821711"/>
                </c:manualLayout>
              </c:layout>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dLbl>
              <c:idx val="19"/>
              <c:layout>
                <c:manualLayout>
                  <c:x val="0.0869958442694678"/>
                  <c:y val="0.166804445074186"/>
                </c:manualLayout>
              </c:layout>
              <c:tx>
                <c:rich>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r>
                      <a:rPr lang="zh-CN" altLang="en-US"/>
                      <a:t>  债务发行费用，
</a:t>
                    </a:r>
                    <a:r>
                      <a:rPr lang="en-US" altLang="zh-CN"/>
                      <a:t>0.01%</a:t>
                    </a:r>
                    <a:endParaRPr lang="en-US" altLang="zh-CN"/>
                  </a:p>
                </c:rich>
              </c:tx>
              <c:dLblPos val="bestFit"/>
              <c:showLegendKey val="0"/>
              <c:showVal val="0"/>
              <c:showCatName val="1"/>
              <c:showSerName val="0"/>
              <c:showPercent val="1"/>
              <c:showBubbleSize val="0"/>
              <c:separator>, </c:separator>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0"/>
            <c:showCatName val="1"/>
            <c:showSerName val="0"/>
            <c:showPercent val="1"/>
            <c:showBubbleSize val="0"/>
            <c:separator>, </c:separator>
            <c:showLeaderLines val="1"/>
            <c:extLst>
              <c:ext xmlns:c15="http://schemas.microsoft.com/office/drawing/2012/chart" uri="{CE6537A1-D6FC-4f65-9D91-7224C49458BB}">
                <c15:layout/>
                <c15:showLeaderLines val="1"/>
                <c15:leaderLines/>
              </c:ext>
            </c:extLst>
          </c:dLbls>
          <c:cat>
            <c:strRef>
              <c:f>Sheet1!$A$2:$A$21</c:f>
              <c:strCache>
                <c:ptCount val="20"/>
                <c:pt idx="0">
                  <c:v>  一般公共服务</c:v>
                </c:pt>
                <c:pt idx="1">
                  <c:v>  国防</c:v>
                </c:pt>
                <c:pt idx="2">
                  <c:v>  公共安全</c:v>
                </c:pt>
                <c:pt idx="3">
                  <c:v>  商业服务业等事务</c:v>
                </c:pt>
                <c:pt idx="4">
                  <c:v>  教育</c:v>
                </c:pt>
                <c:pt idx="5">
                  <c:v>  科学技术</c:v>
                </c:pt>
                <c:pt idx="6">
                  <c:v>  文化体育与传媒</c:v>
                </c:pt>
                <c:pt idx="7">
                  <c:v>  社会保障和就业</c:v>
                </c:pt>
                <c:pt idx="8">
                  <c:v>  国土资源气象等事务</c:v>
                </c:pt>
                <c:pt idx="9">
                  <c:v>  医疗卫生</c:v>
                </c:pt>
                <c:pt idx="10">
                  <c:v>  节能环保</c:v>
                </c:pt>
                <c:pt idx="11">
                  <c:v>  城乡社区事务</c:v>
                </c:pt>
                <c:pt idx="12">
                  <c:v>  农林水事务</c:v>
                </c:pt>
                <c:pt idx="13">
                  <c:v>  粮油物资储备事务</c:v>
                </c:pt>
                <c:pt idx="14">
                  <c:v>  交通运输</c:v>
                </c:pt>
                <c:pt idx="15">
                  <c:v>  资源勘探电力信息等事务</c:v>
                </c:pt>
                <c:pt idx="16">
                  <c:v>  住房保障支出</c:v>
                </c:pt>
                <c:pt idx="17">
                  <c:v>  其他支出</c:v>
                </c:pt>
                <c:pt idx="18">
                  <c:v>  债务付息支出</c:v>
                </c:pt>
                <c:pt idx="19">
                  <c:v>  债务发行费用支出</c:v>
                </c:pt>
              </c:strCache>
            </c:strRef>
          </c:cat>
          <c:val>
            <c:numRef>
              <c:f>Sheet1!$B$2:$B$21</c:f>
              <c:numCache>
                <c:formatCode>General</c:formatCode>
                <c:ptCount val="20"/>
                <c:pt idx="0">
                  <c:v>20104</c:v>
                </c:pt>
                <c:pt idx="1">
                  <c:v>45</c:v>
                </c:pt>
                <c:pt idx="2">
                  <c:v>16897</c:v>
                </c:pt>
                <c:pt idx="3">
                  <c:v>105</c:v>
                </c:pt>
                <c:pt idx="4">
                  <c:v>29806</c:v>
                </c:pt>
                <c:pt idx="5">
                  <c:v>2992</c:v>
                </c:pt>
                <c:pt idx="6">
                  <c:v>1622</c:v>
                </c:pt>
                <c:pt idx="7">
                  <c:v>21524</c:v>
                </c:pt>
                <c:pt idx="8">
                  <c:v>913</c:v>
                </c:pt>
                <c:pt idx="9">
                  <c:v>11509</c:v>
                </c:pt>
                <c:pt idx="10">
                  <c:v>1270</c:v>
                </c:pt>
                <c:pt idx="11">
                  <c:v>7318</c:v>
                </c:pt>
                <c:pt idx="12">
                  <c:v>26237</c:v>
                </c:pt>
                <c:pt idx="13">
                  <c:v>111</c:v>
                </c:pt>
                <c:pt idx="14">
                  <c:v>20093</c:v>
                </c:pt>
                <c:pt idx="15">
                  <c:v>225</c:v>
                </c:pt>
                <c:pt idx="16">
                  <c:v>8599</c:v>
                </c:pt>
                <c:pt idx="17">
                  <c:v>1548</c:v>
                </c:pt>
                <c:pt idx="18" c:formatCode="#,##0_ ">
                  <c:v>848</c:v>
                </c:pt>
                <c:pt idx="19" c:formatCode="#,##0_ ">
                  <c:v>21</c:v>
                </c:pt>
              </c:numCache>
            </c:numRef>
          </c:val>
        </c:ser>
        <c:dLbls>
          <c:showLegendKey val="0"/>
          <c:showVal val="0"/>
          <c:showCatName val="1"/>
          <c:showSerName val="0"/>
          <c:showPercent val="1"/>
          <c:showBubbleSize val="0"/>
          <c:showLeaderLines val="1"/>
        </c:dLbls>
        <c:firstSliceAng val="100"/>
      </c:pieChart>
      <c:spPr>
        <a:noFill/>
        <a:ln>
          <a:noFill/>
        </a:ln>
        <a:effectLst/>
      </c:spPr>
    </c:plotArea>
    <c:plotVisOnly val="1"/>
    <c:dispBlanksAs val="gap"/>
    <c:showDLblsOverMax val="0"/>
  </c:chart>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一般公共预算支出上下年对比图</a:t>
            </a:r>
            <a:endParaRPr lang="zh-CN" altLang="en-US"/>
          </a:p>
        </c:rich>
      </c:tx>
      <c:layout/>
      <c:overlay val="0"/>
    </c:title>
    <c:autoTitleDeleted val="0"/>
    <c:plotArea>
      <c:layout>
        <c:manualLayout>
          <c:layoutTarget val="inner"/>
          <c:xMode val="edge"/>
          <c:yMode val="edge"/>
          <c:x val="0.117556131347858"/>
          <c:y val="0.149108893521987"/>
          <c:w val="0.879262268912921"/>
          <c:h val="0.536735414097335"/>
        </c:manualLayout>
      </c:layout>
      <c:barChart>
        <c:barDir val="col"/>
        <c:grouping val="clustered"/>
        <c:varyColors val="0"/>
        <c:ser>
          <c:idx val="0"/>
          <c:order val="0"/>
          <c:tx>
            <c:strRef>
              <c:f>Sheet1!$B$1</c:f>
              <c:strCache>
                <c:ptCount val="1"/>
                <c:pt idx="0">
                  <c:v>2016年(万元)</c:v>
                </c:pt>
              </c:strCache>
            </c:strRef>
          </c:tx>
          <c:spPr>
            <a:solidFill>
              <a:srgbClr val="0070C0"/>
            </a:solidFill>
          </c:spPr>
          <c:invertIfNegative val="0"/>
          <c:dLbls>
            <c:delete val="1"/>
          </c:dLbls>
          <c:cat>
            <c:strRef>
              <c:f>Sheet1!$A$2:$A$21</c:f>
              <c:strCache>
                <c:ptCount val="20"/>
                <c:pt idx="0">
                  <c:v>  一般公共服务</c:v>
                </c:pt>
                <c:pt idx="1">
                  <c:v>  国防</c:v>
                </c:pt>
                <c:pt idx="2">
                  <c:v>  公共安全</c:v>
                </c:pt>
                <c:pt idx="3">
                  <c:v>  教育</c:v>
                </c:pt>
                <c:pt idx="4">
                  <c:v>  科学技术</c:v>
                </c:pt>
                <c:pt idx="5">
                  <c:v>  文化体育与传媒</c:v>
                </c:pt>
                <c:pt idx="6">
                  <c:v>  社会保障和就业</c:v>
                </c:pt>
                <c:pt idx="7">
                  <c:v>  医疗卫生</c:v>
                </c:pt>
                <c:pt idx="8">
                  <c:v>  节能环保</c:v>
                </c:pt>
                <c:pt idx="9">
                  <c:v>  城乡社区事务</c:v>
                </c:pt>
                <c:pt idx="10">
                  <c:v>  农林水事务</c:v>
                </c:pt>
                <c:pt idx="11">
                  <c:v>  交通运输</c:v>
                </c:pt>
                <c:pt idx="12">
                  <c:v>  资源勘探电力信息等事务</c:v>
                </c:pt>
                <c:pt idx="13">
                  <c:v>  商业服务业等事务</c:v>
                </c:pt>
                <c:pt idx="14">
                  <c:v>  国土资源气象等事务</c:v>
                </c:pt>
                <c:pt idx="15">
                  <c:v>  住房保障支出</c:v>
                </c:pt>
                <c:pt idx="16">
                  <c:v>  粮油物资储备事务</c:v>
                </c:pt>
                <c:pt idx="17">
                  <c:v>  其他支出</c:v>
                </c:pt>
                <c:pt idx="18">
                  <c:v>  债务付息支出</c:v>
                </c:pt>
                <c:pt idx="19">
                  <c:v>  债务发行费用支出</c:v>
                </c:pt>
              </c:strCache>
            </c:strRef>
          </c:cat>
          <c:val>
            <c:numRef>
              <c:f>Sheet1!$B$2:$B$21</c:f>
              <c:numCache>
                <c:formatCode>General</c:formatCode>
                <c:ptCount val="20"/>
                <c:pt idx="0">
                  <c:v>17826</c:v>
                </c:pt>
                <c:pt idx="1">
                  <c:v>33</c:v>
                </c:pt>
                <c:pt idx="2">
                  <c:v>8288</c:v>
                </c:pt>
                <c:pt idx="3">
                  <c:v>34821</c:v>
                </c:pt>
                <c:pt idx="4">
                  <c:v>3044</c:v>
                </c:pt>
                <c:pt idx="5">
                  <c:v>1913</c:v>
                </c:pt>
                <c:pt idx="6">
                  <c:v>19379</c:v>
                </c:pt>
                <c:pt idx="7">
                  <c:v>13061</c:v>
                </c:pt>
                <c:pt idx="8">
                  <c:v>10437</c:v>
                </c:pt>
                <c:pt idx="9">
                  <c:v>11324</c:v>
                </c:pt>
                <c:pt idx="10">
                  <c:v>31865</c:v>
                </c:pt>
                <c:pt idx="11">
                  <c:v>403</c:v>
                </c:pt>
                <c:pt idx="12">
                  <c:v>191</c:v>
                </c:pt>
                <c:pt idx="13">
                  <c:v>988</c:v>
                </c:pt>
                <c:pt idx="14">
                  <c:v>1379</c:v>
                </c:pt>
                <c:pt idx="15">
                  <c:v>8933</c:v>
                </c:pt>
                <c:pt idx="16">
                  <c:v>175</c:v>
                </c:pt>
                <c:pt idx="17">
                  <c:v>410</c:v>
                </c:pt>
                <c:pt idx="18" c:formatCode="#,##0_ ">
                  <c:v>520</c:v>
                </c:pt>
                <c:pt idx="19" c:formatCode="#,##0_ ">
                  <c:v>9</c:v>
                </c:pt>
              </c:numCache>
            </c:numRef>
          </c:val>
        </c:ser>
        <c:ser>
          <c:idx val="1"/>
          <c:order val="1"/>
          <c:tx>
            <c:strRef>
              <c:f>Sheet1!$C$1</c:f>
              <c:strCache>
                <c:ptCount val="1"/>
                <c:pt idx="0">
                  <c:v>2017年(万元)</c:v>
                </c:pt>
              </c:strCache>
            </c:strRef>
          </c:tx>
          <c:spPr>
            <a:solidFill>
              <a:schemeClr val="bg2">
                <a:lumMod val="75000"/>
              </a:schemeClr>
            </a:solidFill>
          </c:spPr>
          <c:invertIfNegative val="0"/>
          <c:dLbls>
            <c:delete val="1"/>
          </c:dLbls>
          <c:cat>
            <c:strRef>
              <c:f>Sheet1!$A$2:$A$21</c:f>
              <c:strCache>
                <c:ptCount val="20"/>
                <c:pt idx="0">
                  <c:v>  一般公共服务</c:v>
                </c:pt>
                <c:pt idx="1">
                  <c:v>  国防</c:v>
                </c:pt>
                <c:pt idx="2">
                  <c:v>  公共安全</c:v>
                </c:pt>
                <c:pt idx="3">
                  <c:v>  教育</c:v>
                </c:pt>
                <c:pt idx="4">
                  <c:v>  科学技术</c:v>
                </c:pt>
                <c:pt idx="5">
                  <c:v>  文化体育与传媒</c:v>
                </c:pt>
                <c:pt idx="6">
                  <c:v>  社会保障和就业</c:v>
                </c:pt>
                <c:pt idx="7">
                  <c:v>  医疗卫生</c:v>
                </c:pt>
                <c:pt idx="8">
                  <c:v>  节能环保</c:v>
                </c:pt>
                <c:pt idx="9">
                  <c:v>  城乡社区事务</c:v>
                </c:pt>
                <c:pt idx="10">
                  <c:v>  农林水事务</c:v>
                </c:pt>
                <c:pt idx="11">
                  <c:v>  交通运输</c:v>
                </c:pt>
                <c:pt idx="12">
                  <c:v>  资源勘探电力信息等事务</c:v>
                </c:pt>
                <c:pt idx="13">
                  <c:v>  商业服务业等事务</c:v>
                </c:pt>
                <c:pt idx="14">
                  <c:v>  国土资源气象等事务</c:v>
                </c:pt>
                <c:pt idx="15">
                  <c:v>  住房保障支出</c:v>
                </c:pt>
                <c:pt idx="16">
                  <c:v>  粮油物资储备事务</c:v>
                </c:pt>
                <c:pt idx="17">
                  <c:v>  其他支出</c:v>
                </c:pt>
                <c:pt idx="18">
                  <c:v>  债务付息支出</c:v>
                </c:pt>
                <c:pt idx="19">
                  <c:v>  债务发行费用支出</c:v>
                </c:pt>
              </c:strCache>
            </c:strRef>
          </c:cat>
          <c:val>
            <c:numRef>
              <c:f>Sheet1!$C$2:$C$21</c:f>
              <c:numCache>
                <c:formatCode>General</c:formatCode>
                <c:ptCount val="20"/>
                <c:pt idx="0">
                  <c:v>19920</c:v>
                </c:pt>
                <c:pt idx="1">
                  <c:v>45</c:v>
                </c:pt>
                <c:pt idx="2">
                  <c:v>11791</c:v>
                </c:pt>
                <c:pt idx="3">
                  <c:v>29806</c:v>
                </c:pt>
                <c:pt idx="4">
                  <c:v>2992</c:v>
                </c:pt>
                <c:pt idx="5">
                  <c:v>1622</c:v>
                </c:pt>
                <c:pt idx="6">
                  <c:v>21524</c:v>
                </c:pt>
                <c:pt idx="7">
                  <c:v>11509</c:v>
                </c:pt>
                <c:pt idx="8">
                  <c:v>1505</c:v>
                </c:pt>
                <c:pt idx="9">
                  <c:v>7318</c:v>
                </c:pt>
                <c:pt idx="10">
                  <c:v>26237</c:v>
                </c:pt>
                <c:pt idx="11">
                  <c:v>20093</c:v>
                </c:pt>
                <c:pt idx="12">
                  <c:v>243</c:v>
                </c:pt>
                <c:pt idx="13">
                  <c:v>1879</c:v>
                </c:pt>
                <c:pt idx="14">
                  <c:v>913</c:v>
                </c:pt>
                <c:pt idx="15">
                  <c:v>8599</c:v>
                </c:pt>
                <c:pt idx="16">
                  <c:v>111</c:v>
                </c:pt>
                <c:pt idx="17">
                  <c:v>4811</c:v>
                </c:pt>
                <c:pt idx="18" c:formatCode="#,##0_ ">
                  <c:v>848</c:v>
                </c:pt>
                <c:pt idx="19" c:formatCode="#,##0_ ">
                  <c:v>21</c:v>
                </c:pt>
              </c:numCache>
            </c:numRef>
          </c:val>
        </c:ser>
        <c:dLbls>
          <c:showLegendKey val="0"/>
          <c:showVal val="0"/>
          <c:showCatName val="0"/>
          <c:showSerName val="0"/>
          <c:showPercent val="0"/>
          <c:showBubbleSize val="0"/>
        </c:dLbls>
        <c:gapWidth val="150"/>
        <c:axId val="138381568"/>
        <c:axId val="138612736"/>
      </c:barChart>
      <c:catAx>
        <c:axId val="138381568"/>
        <c:scaling>
          <c:orientation val="minMax"/>
        </c:scaling>
        <c:delete val="0"/>
        <c:axPos val="b"/>
        <c:numFmt formatCode="#,##0_ "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612736"/>
        <c:crossesAt val="0"/>
        <c:auto val="1"/>
        <c:lblAlgn val="ctr"/>
        <c:lblOffset val="100"/>
        <c:noMultiLvlLbl val="0"/>
      </c:catAx>
      <c:valAx>
        <c:axId val="13861273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38381568"/>
        <c:crosses val="autoZero"/>
        <c:crossBetween val="between"/>
        <c:majorUnit val="5000"/>
        <c:minorUnit val="1000"/>
      </c:valAx>
      <c:dTable>
        <c:showHorzBorder val="1"/>
        <c:showVertBorder val="1"/>
        <c:showOutline val="1"/>
        <c:showKeys val="1"/>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dTable>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plotArea>
    <c:plotVisOnly val="1"/>
    <c:dispBlanksAs val="gap"/>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89775-F586-4F31-AB9A-D644AAC9BFB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20</Pages>
  <Words>2420</Words>
  <Characters>13795</Characters>
  <Lines>114</Lines>
  <Paragraphs>32</Paragraphs>
  <TotalTime>36</TotalTime>
  <ScaleCrop>false</ScaleCrop>
  <LinksUpToDate>false</LinksUpToDate>
  <CharactersWithSpaces>16183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2018-01-07T05:00:00Z</dcterms:created>
  <dc:creator>User</dc:creator>
  <cp:lastModifiedBy>Administrator</cp:lastModifiedBy>
  <dcterms:modified xsi:type="dcterms:W3CDTF">2018-07-12T11:58:19Z</dcterms:modified>
  <dc:title>2015年度托里县财政总决算分析</dc:title>
  <cp:revision>715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